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08E07" w14:textId="1DD66AC0" w:rsidR="001B1515" w:rsidRDefault="001B1515" w:rsidP="001B1515">
      <w:pPr>
        <w:spacing w:after="480"/>
      </w:pPr>
      <w:r>
        <w:rPr>
          <w:noProof/>
        </w:rPr>
        <w:drawing>
          <wp:inline distT="0" distB="0" distL="0" distR="0" wp14:anchorId="3C52E977" wp14:editId="0971133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557455">
        <w:trPr>
          <w:tblHeader/>
        </w:trPr>
        <w:tc>
          <w:tcPr>
            <w:tcW w:w="3384" w:type="dxa"/>
          </w:tcPr>
          <w:p w14:paraId="430591F6" w14:textId="77777777" w:rsidR="001B1515" w:rsidRPr="00B805DB" w:rsidRDefault="001B1515" w:rsidP="007E08CE">
            <w:pPr>
              <w:pStyle w:val="Heading1"/>
              <w:outlineLvl w:val="0"/>
            </w:pPr>
            <w:r>
              <w:t>Report f</w:t>
            </w:r>
            <w:r w:rsidRPr="00C869F3">
              <w:t>or:</w:t>
            </w:r>
          </w:p>
        </w:tc>
        <w:tc>
          <w:tcPr>
            <w:tcW w:w="5076" w:type="dxa"/>
          </w:tcPr>
          <w:p w14:paraId="45508CA3" w14:textId="77777777" w:rsidR="00A70E91" w:rsidRDefault="001B1515" w:rsidP="00A70E91">
            <w:pPr>
              <w:pStyle w:val="Heading1"/>
              <w:outlineLvl w:val="0"/>
            </w:pPr>
            <w:r>
              <w:t>Overview and Scrutiny Committee</w:t>
            </w:r>
          </w:p>
          <w:p w14:paraId="59B1CB41" w14:textId="77777777" w:rsidR="00A70E91" w:rsidRDefault="00A70E91" w:rsidP="00A70E91"/>
          <w:p w14:paraId="484CB054" w14:textId="3E303018" w:rsidR="00A70E91" w:rsidRPr="00A70E91" w:rsidRDefault="00A70E91" w:rsidP="00A70E91"/>
        </w:tc>
      </w:tr>
      <w:tr w:rsidR="001B1515" w14:paraId="5F6DE90A" w14:textId="77777777" w:rsidTr="00557455">
        <w:tc>
          <w:tcPr>
            <w:tcW w:w="3384" w:type="dxa"/>
            <w:vAlign w:val="center"/>
          </w:tcPr>
          <w:p w14:paraId="12368039" w14:textId="77777777" w:rsidR="00BB296E" w:rsidRDefault="00BB296E" w:rsidP="00557455">
            <w:pPr>
              <w:pStyle w:val="Infotext"/>
              <w:ind w:left="-112"/>
              <w:rPr>
                <w:rFonts w:ascii="Arial Black" w:hAnsi="Arial Black"/>
              </w:rPr>
            </w:pPr>
          </w:p>
          <w:p w14:paraId="6F0C92F9" w14:textId="0A9506E7" w:rsidR="001B1515" w:rsidRPr="00F92398" w:rsidRDefault="001B1515" w:rsidP="00557455">
            <w:pPr>
              <w:pStyle w:val="Infotext"/>
              <w:ind w:left="-112"/>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r w:rsidR="00EA4A7E">
              <w:rPr>
                <w:rFonts w:ascii="Arial Black" w:hAnsi="Arial Black"/>
              </w:rPr>
              <w:t xml:space="preserve">      </w:t>
            </w:r>
          </w:p>
          <w:p w14:paraId="506F58C9" w14:textId="77777777" w:rsidR="001B1515" w:rsidRPr="00F92398" w:rsidRDefault="001B1515" w:rsidP="00557455">
            <w:pPr>
              <w:pStyle w:val="Infotext"/>
              <w:rPr>
                <w:rFonts w:ascii="Arial Black" w:hAnsi="Arial Black" w:cs="Arial"/>
              </w:rPr>
            </w:pPr>
          </w:p>
        </w:tc>
        <w:tc>
          <w:tcPr>
            <w:tcW w:w="5076" w:type="dxa"/>
            <w:vAlign w:val="center"/>
          </w:tcPr>
          <w:p w14:paraId="5AADFA73" w14:textId="55BE041A" w:rsidR="00557455" w:rsidRDefault="00557455" w:rsidP="00557455">
            <w:pPr>
              <w:pStyle w:val="Infotext"/>
              <w:rPr>
                <w:rFonts w:cs="Arial"/>
              </w:rPr>
            </w:pPr>
            <w:r>
              <w:rPr>
                <w:rFonts w:cs="Arial"/>
              </w:rPr>
              <w:t xml:space="preserve">14 </w:t>
            </w:r>
            <w:r w:rsidR="00637C12">
              <w:rPr>
                <w:rFonts w:cs="Arial"/>
              </w:rPr>
              <w:t>December</w:t>
            </w:r>
            <w:r>
              <w:rPr>
                <w:rFonts w:cs="Arial"/>
              </w:rPr>
              <w:t xml:space="preserve"> 2021</w:t>
            </w:r>
          </w:p>
        </w:tc>
      </w:tr>
      <w:tr w:rsidR="001B1515" w14:paraId="51EEF4C6" w14:textId="77777777" w:rsidTr="00557455">
        <w:tc>
          <w:tcPr>
            <w:tcW w:w="3384" w:type="dxa"/>
            <w:vAlign w:val="center"/>
          </w:tcPr>
          <w:p w14:paraId="210DB0F9" w14:textId="77777777" w:rsidR="00BB296E" w:rsidRDefault="00BB296E" w:rsidP="00557455">
            <w:pPr>
              <w:pStyle w:val="Infotext"/>
              <w:rPr>
                <w:rFonts w:ascii="Arial Black" w:hAnsi="Arial Black" w:cs="Arial"/>
              </w:rPr>
            </w:pPr>
          </w:p>
          <w:p w14:paraId="1692079E" w14:textId="4FE1B5F1" w:rsidR="001B1515" w:rsidRPr="00F92398" w:rsidRDefault="001B1515" w:rsidP="00557455">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557455">
            <w:pPr>
              <w:pStyle w:val="Infotext"/>
              <w:rPr>
                <w:rFonts w:ascii="Arial Black" w:hAnsi="Arial Black"/>
              </w:rPr>
            </w:pPr>
          </w:p>
        </w:tc>
        <w:tc>
          <w:tcPr>
            <w:tcW w:w="5076" w:type="dxa"/>
            <w:vAlign w:val="center"/>
          </w:tcPr>
          <w:p w14:paraId="60F12C33" w14:textId="77777777" w:rsidR="00637C12" w:rsidRDefault="00637C12" w:rsidP="00557455">
            <w:pPr>
              <w:pStyle w:val="Infotext"/>
            </w:pPr>
          </w:p>
          <w:p w14:paraId="1E2A258B" w14:textId="64D52B76" w:rsidR="001B1515" w:rsidRDefault="00637C12" w:rsidP="00557455">
            <w:pPr>
              <w:pStyle w:val="Infotext"/>
              <w:rPr>
                <w:rFonts w:cs="Arial"/>
              </w:rPr>
            </w:pPr>
            <w:r>
              <w:t>Community Safety Strategic</w:t>
            </w:r>
            <w:r>
              <w:rPr>
                <w:spacing w:val="-75"/>
              </w:rPr>
              <w:t xml:space="preserve"> </w:t>
            </w:r>
            <w:r>
              <w:t>Assessment 2021</w:t>
            </w:r>
          </w:p>
        </w:tc>
      </w:tr>
      <w:tr w:rsidR="001B1515" w14:paraId="524EACC3" w14:textId="77777777" w:rsidTr="00557455">
        <w:tc>
          <w:tcPr>
            <w:tcW w:w="3384" w:type="dxa"/>
            <w:vAlign w:val="center"/>
          </w:tcPr>
          <w:p w14:paraId="01C8E710" w14:textId="77777777" w:rsidR="00BB296E" w:rsidRDefault="00BB296E" w:rsidP="00557455">
            <w:pPr>
              <w:pStyle w:val="Infotext"/>
              <w:rPr>
                <w:rFonts w:ascii="Arial Black" w:hAnsi="Arial Black" w:cs="Arial"/>
              </w:rPr>
            </w:pPr>
          </w:p>
          <w:p w14:paraId="5731415F" w14:textId="3A163A57" w:rsidR="001B1515" w:rsidRPr="00F92398" w:rsidRDefault="001B1515" w:rsidP="00557455">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557455">
            <w:pPr>
              <w:pStyle w:val="Infotext"/>
              <w:rPr>
                <w:rFonts w:ascii="Arial Black" w:hAnsi="Arial Black" w:cs="Arial"/>
              </w:rPr>
            </w:pPr>
          </w:p>
        </w:tc>
        <w:tc>
          <w:tcPr>
            <w:tcW w:w="5076" w:type="dxa"/>
            <w:vAlign w:val="center"/>
          </w:tcPr>
          <w:p w14:paraId="0B9B6DEF" w14:textId="77777777" w:rsidR="00637C12" w:rsidRDefault="00637C12" w:rsidP="00557455">
            <w:pPr>
              <w:pStyle w:val="Infotext"/>
            </w:pPr>
          </w:p>
          <w:p w14:paraId="2302069C" w14:textId="77777777" w:rsidR="00637C12" w:rsidRDefault="00637C12" w:rsidP="00557455">
            <w:pPr>
              <w:pStyle w:val="Infotext"/>
            </w:pPr>
          </w:p>
          <w:p w14:paraId="7F092C6C" w14:textId="1DFA364E" w:rsidR="001B1515" w:rsidRDefault="00637C12" w:rsidP="00557455">
            <w:pPr>
              <w:pStyle w:val="Infotext"/>
            </w:pPr>
            <w:r>
              <w:t>Alex Dewsnap, Director,</w:t>
            </w:r>
            <w:r>
              <w:rPr>
                <w:spacing w:val="-75"/>
              </w:rPr>
              <w:t xml:space="preserve"> </w:t>
            </w:r>
            <w:r>
              <w:t>Strategy &amp; Partnerships</w:t>
            </w:r>
          </w:p>
          <w:p w14:paraId="2B0AA452" w14:textId="1F3994AB" w:rsidR="00637C12" w:rsidRDefault="00637C12" w:rsidP="00557455">
            <w:pPr>
              <w:pStyle w:val="Infotext"/>
              <w:rPr>
                <w:rFonts w:cs="Arial"/>
              </w:rPr>
            </w:pPr>
          </w:p>
        </w:tc>
      </w:tr>
      <w:tr w:rsidR="00B764AC" w14:paraId="1A0003A3" w14:textId="77777777" w:rsidTr="00557455">
        <w:tc>
          <w:tcPr>
            <w:tcW w:w="3384" w:type="dxa"/>
          </w:tcPr>
          <w:p w14:paraId="2F469FEA"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DB6D88">
            <w:pPr>
              <w:pStyle w:val="Infotext"/>
              <w:rPr>
                <w:rFonts w:ascii="Arial Black" w:hAnsi="Arial Black" w:cs="Arial"/>
              </w:rPr>
            </w:pPr>
          </w:p>
        </w:tc>
        <w:tc>
          <w:tcPr>
            <w:tcW w:w="5076" w:type="dxa"/>
          </w:tcPr>
          <w:p w14:paraId="3DB87777" w14:textId="77777777" w:rsidR="00B764AC" w:rsidRDefault="00B764AC" w:rsidP="00BB296E">
            <w:pPr>
              <w:pStyle w:val="Infotext"/>
              <w:rPr>
                <w:rFonts w:cs="Arial"/>
              </w:rPr>
            </w:pPr>
          </w:p>
          <w:p w14:paraId="48615A65" w14:textId="77777777" w:rsidR="0003271C" w:rsidRDefault="005732BB" w:rsidP="00BB296E">
            <w:pPr>
              <w:pStyle w:val="Infotext"/>
              <w:rPr>
                <w:rFonts w:cs="Arial"/>
              </w:rPr>
            </w:pPr>
            <w:r>
              <w:rPr>
                <w:rFonts w:cs="Arial"/>
              </w:rPr>
              <w:t xml:space="preserve">Councillor </w:t>
            </w:r>
            <w:r w:rsidRPr="005732BB">
              <w:rPr>
                <w:rFonts w:cs="Arial"/>
              </w:rPr>
              <w:t xml:space="preserve">Kairul </w:t>
            </w:r>
            <w:proofErr w:type="spellStart"/>
            <w:r w:rsidRPr="005732BB">
              <w:rPr>
                <w:rFonts w:cs="Arial"/>
              </w:rPr>
              <w:t>Kareema</w:t>
            </w:r>
            <w:proofErr w:type="spellEnd"/>
            <w:r w:rsidRPr="005732BB">
              <w:rPr>
                <w:rFonts w:cs="Arial"/>
              </w:rPr>
              <w:t xml:space="preserve"> Marikar</w:t>
            </w:r>
          </w:p>
          <w:p w14:paraId="0985BEF5" w14:textId="77777777" w:rsidR="006D1D5A" w:rsidRDefault="006D1D5A" w:rsidP="00BB296E">
            <w:pPr>
              <w:pStyle w:val="Infotext"/>
              <w:rPr>
                <w:rFonts w:cs="Arial"/>
              </w:rPr>
            </w:pPr>
            <w:r w:rsidRPr="006D1D5A">
              <w:rPr>
                <w:rFonts w:cs="Arial"/>
              </w:rPr>
              <w:t xml:space="preserve">Councillor </w:t>
            </w:r>
            <w:proofErr w:type="spellStart"/>
            <w:r w:rsidRPr="006D1D5A">
              <w:rPr>
                <w:rFonts w:cs="Arial"/>
              </w:rPr>
              <w:t>Kanti</w:t>
            </w:r>
            <w:proofErr w:type="spellEnd"/>
            <w:r w:rsidRPr="006D1D5A">
              <w:rPr>
                <w:rFonts w:cs="Arial"/>
              </w:rPr>
              <w:t xml:space="preserve"> Rabadia</w:t>
            </w:r>
          </w:p>
          <w:p w14:paraId="78A62C57" w14:textId="5604999B" w:rsidR="006D1D5A" w:rsidRPr="000F2599" w:rsidRDefault="006D1D5A" w:rsidP="00BB296E">
            <w:pPr>
              <w:pStyle w:val="Infotext"/>
              <w:rPr>
                <w:rFonts w:cs="Arial"/>
              </w:rPr>
            </w:pPr>
          </w:p>
        </w:tc>
      </w:tr>
      <w:tr w:rsidR="00B764AC" w14:paraId="52898ACB" w14:textId="77777777" w:rsidTr="00AC28DC">
        <w:tc>
          <w:tcPr>
            <w:tcW w:w="3384" w:type="dxa"/>
          </w:tcPr>
          <w:p w14:paraId="0D984BC6"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tcPr>
          <w:p w14:paraId="573BCE8B" w14:textId="32C3279C" w:rsidR="00B764AC" w:rsidRDefault="00B764AC" w:rsidP="00DB6D88">
            <w:pPr>
              <w:pStyle w:val="Infotext"/>
              <w:rPr>
                <w:rFonts w:cs="Arial"/>
              </w:rPr>
            </w:pPr>
            <w:r>
              <w:rPr>
                <w:rFonts w:cs="Arial"/>
              </w:rPr>
              <w:t>No</w:t>
            </w:r>
          </w:p>
          <w:p w14:paraId="4F037418" w14:textId="0D1815F9" w:rsidR="00B764AC" w:rsidRDefault="00B764AC" w:rsidP="00AE1629">
            <w:pPr>
              <w:pStyle w:val="Infotext"/>
              <w:rPr>
                <w:rFonts w:cs="Arial"/>
              </w:rPr>
            </w:pP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4EF7B8FA" w14:textId="11B4D685" w:rsidR="00B764AC" w:rsidRPr="00A70E91" w:rsidRDefault="007B5427" w:rsidP="00DB6D88">
            <w:pPr>
              <w:pStyle w:val="Infotext"/>
              <w:rPr>
                <w:bCs/>
              </w:rPr>
            </w:pPr>
            <w:r w:rsidRPr="00A70E91">
              <w:rPr>
                <w:bCs/>
              </w:rPr>
              <w:t>All</w:t>
            </w:r>
            <w:r w:rsidR="00E56BA8" w:rsidRPr="00A70E91">
              <w:rPr>
                <w:bCs/>
              </w:rPr>
              <w:t xml:space="preserve"> </w:t>
            </w:r>
          </w:p>
        </w:tc>
      </w:tr>
      <w:tr w:rsidR="00B764AC" w14:paraId="2E68568C" w14:textId="77777777" w:rsidTr="00AC28DC">
        <w:tc>
          <w:tcPr>
            <w:tcW w:w="3384" w:type="dxa"/>
          </w:tcPr>
          <w:p w14:paraId="1E3D5D3C" w14:textId="77777777" w:rsidR="00B764AC" w:rsidRPr="00F92398" w:rsidRDefault="00B764AC" w:rsidP="002A143E">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2A143E">
            <w:pPr>
              <w:pStyle w:val="Infotext"/>
              <w:rPr>
                <w:rFonts w:ascii="Arial Black" w:hAnsi="Arial Black" w:cs="Arial"/>
              </w:rPr>
            </w:pPr>
          </w:p>
        </w:tc>
        <w:tc>
          <w:tcPr>
            <w:tcW w:w="5076" w:type="dxa"/>
          </w:tcPr>
          <w:p w14:paraId="1B79E58F" w14:textId="647D1C94" w:rsidR="002A143E" w:rsidRDefault="00AE1629" w:rsidP="002A143E">
            <w:pPr>
              <w:pStyle w:val="Infotext"/>
            </w:pPr>
            <w:r>
              <w:t xml:space="preserve">Appendix A </w:t>
            </w:r>
            <w:r w:rsidR="004843F1">
              <w:t>–</w:t>
            </w:r>
            <w:r>
              <w:t xml:space="preserve"> </w:t>
            </w:r>
            <w:r w:rsidR="00637C12">
              <w:t>Annual</w:t>
            </w:r>
            <w:r w:rsidR="00637C12">
              <w:rPr>
                <w:spacing w:val="-2"/>
              </w:rPr>
              <w:t xml:space="preserve"> </w:t>
            </w:r>
            <w:r w:rsidR="00637C12">
              <w:t>Strategic</w:t>
            </w:r>
            <w:r w:rsidR="00637C12">
              <w:rPr>
                <w:spacing w:val="-3"/>
              </w:rPr>
              <w:t xml:space="preserve"> </w:t>
            </w:r>
            <w:r w:rsidR="00637C12">
              <w:t>Assessment</w:t>
            </w:r>
            <w:r w:rsidR="00637C12">
              <w:rPr>
                <w:spacing w:val="-2"/>
              </w:rPr>
              <w:t xml:space="preserve"> </w:t>
            </w:r>
            <w:r w:rsidR="00637C12">
              <w:t>2021</w:t>
            </w:r>
          </w:p>
        </w:tc>
      </w:tr>
    </w:tbl>
    <w:p w14:paraId="73CD0A27" w14:textId="77777777" w:rsidR="001B1515" w:rsidRDefault="001B1515" w:rsidP="001B1515">
      <w:pPr>
        <w:spacing w:after="480"/>
      </w:pPr>
    </w:p>
    <w:p w14:paraId="14F61F53" w14:textId="29D28DE1" w:rsidR="565D5E81" w:rsidRDefault="565D5E81"/>
    <w:p w14:paraId="6C53C164" w14:textId="62C3738D" w:rsidR="565D5E81" w:rsidRDefault="565D5E81" w:rsidP="565D5E81"/>
    <w:p w14:paraId="275E4674" w14:textId="3C381AD6" w:rsidR="565D5E81" w:rsidRDefault="565D5E81" w:rsidP="565D5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03271C">
        <w:trPr>
          <w:tblHeader/>
        </w:trPr>
        <w:tc>
          <w:tcPr>
            <w:tcW w:w="8525" w:type="dxa"/>
            <w:tcBorders>
              <w:top w:val="nil"/>
              <w:left w:val="nil"/>
              <w:bottom w:val="nil"/>
              <w:right w:val="nil"/>
            </w:tcBorders>
          </w:tcPr>
          <w:p w14:paraId="1C0B7D72" w14:textId="77777777" w:rsidR="001B1515" w:rsidRDefault="001B1515" w:rsidP="0008003C">
            <w:pPr>
              <w:pStyle w:val="Heading2"/>
              <w:spacing w:before="240" w:after="240"/>
            </w:pPr>
            <w:r>
              <w:lastRenderedPageBreak/>
              <w:t>Section 1 – Summary and Recommendations</w:t>
            </w:r>
          </w:p>
        </w:tc>
      </w:tr>
      <w:tr w:rsidR="001B1515" w14:paraId="2AE8E8CA" w14:textId="77777777" w:rsidTr="00500D22">
        <w:trPr>
          <w:trHeight w:val="1625"/>
          <w:tblHeader/>
        </w:trPr>
        <w:tc>
          <w:tcPr>
            <w:tcW w:w="8525" w:type="dxa"/>
            <w:tcBorders>
              <w:top w:val="nil"/>
              <w:left w:val="nil"/>
              <w:bottom w:val="nil"/>
              <w:right w:val="nil"/>
            </w:tcBorders>
          </w:tcPr>
          <w:p w14:paraId="46DE869D" w14:textId="77777777" w:rsidR="000A10D8" w:rsidRDefault="000A10D8" w:rsidP="00820877">
            <w:pPr>
              <w:jc w:val="both"/>
            </w:pPr>
          </w:p>
          <w:p w14:paraId="2587E431" w14:textId="77777777" w:rsidR="00637C12" w:rsidRDefault="00637C12" w:rsidP="00637C12">
            <w:pPr>
              <w:jc w:val="both"/>
            </w:pPr>
            <w:r>
              <w:t>The Strategic Assessment is an annual review of the patterns of crime and anti-social behaviour, fulfilling partnership responsibility under Sections 5, 6, and 7 of the Crime and Disorder Act 1998 to conduct an annual review of the levels and patterns of crime and disorder in Harrow &amp; Greater London.</w:t>
            </w:r>
          </w:p>
          <w:p w14:paraId="6949F29B" w14:textId="77777777" w:rsidR="00637C12" w:rsidRDefault="00637C12" w:rsidP="00637C12">
            <w:pPr>
              <w:jc w:val="both"/>
            </w:pPr>
          </w:p>
          <w:p w14:paraId="54ED1719" w14:textId="77777777" w:rsidR="00637C12" w:rsidRDefault="00637C12" w:rsidP="00637C12">
            <w:pPr>
              <w:jc w:val="both"/>
            </w:pPr>
            <w:r>
              <w:t>The findings of the Strategic Assessment will help inform the annual refresh of Harrow’s Community Safety Strategy</w:t>
            </w:r>
          </w:p>
          <w:p w14:paraId="269BFE6A" w14:textId="77777777" w:rsidR="00637C12" w:rsidRDefault="00637C12" w:rsidP="00637C12">
            <w:pPr>
              <w:jc w:val="both"/>
            </w:pPr>
          </w:p>
          <w:p w14:paraId="497BE44D" w14:textId="77777777" w:rsidR="00637C12" w:rsidRPr="00637C12" w:rsidRDefault="00637C12" w:rsidP="00637C12">
            <w:pPr>
              <w:jc w:val="both"/>
              <w:rPr>
                <w:b/>
                <w:bCs/>
              </w:rPr>
            </w:pPr>
            <w:r w:rsidRPr="00637C12">
              <w:rPr>
                <w:b/>
                <w:bCs/>
              </w:rPr>
              <w:t>Recommendations:</w:t>
            </w:r>
          </w:p>
          <w:p w14:paraId="30F235DD" w14:textId="77777777" w:rsidR="00637C12" w:rsidRDefault="00637C12" w:rsidP="00637C12">
            <w:pPr>
              <w:jc w:val="both"/>
            </w:pPr>
          </w:p>
          <w:p w14:paraId="40A59243" w14:textId="57093B99" w:rsidR="001B1515" w:rsidRDefault="00637C12" w:rsidP="00637C12">
            <w:pPr>
              <w:pStyle w:val="ListParagraph"/>
              <w:numPr>
                <w:ilvl w:val="0"/>
                <w:numId w:val="3"/>
              </w:numPr>
              <w:jc w:val="both"/>
            </w:pPr>
            <w:r>
              <w:t>The Overview and Scrutiny Committee is asked to consider the findings of the Strategic Assessment and provide comments to officers to be fed into the review of the Community Safety Strategy.</w:t>
            </w:r>
          </w:p>
        </w:tc>
      </w:tr>
    </w:tbl>
    <w:p w14:paraId="44374CB3" w14:textId="77777777" w:rsidR="001B1515" w:rsidRPr="004A659A" w:rsidRDefault="001B1515" w:rsidP="004A659A">
      <w:pPr>
        <w:pStyle w:val="Heading2"/>
      </w:pPr>
      <w:r w:rsidRPr="004A659A">
        <w:t>Section 2 – Report</w:t>
      </w:r>
    </w:p>
    <w:p w14:paraId="5949431D" w14:textId="77777777" w:rsidR="00FB6557" w:rsidRDefault="00FB6557" w:rsidP="00A23C39">
      <w:pPr>
        <w:jc w:val="both"/>
        <w:rPr>
          <w:rFonts w:cstheme="minorHAnsi"/>
          <w:szCs w:val="24"/>
        </w:rPr>
      </w:pPr>
    </w:p>
    <w:p w14:paraId="024F4DBE" w14:textId="77777777" w:rsidR="00637C12" w:rsidRPr="00637C12" w:rsidRDefault="00637C12" w:rsidP="00637C12">
      <w:pPr>
        <w:rPr>
          <w:rFonts w:cstheme="minorHAnsi"/>
          <w:szCs w:val="24"/>
        </w:rPr>
      </w:pPr>
      <w:r w:rsidRPr="00637C12">
        <w:rPr>
          <w:rFonts w:cstheme="minorHAnsi"/>
          <w:szCs w:val="24"/>
        </w:rPr>
        <w:t xml:space="preserve">All Community Safety Partnerships are required by law to conduct an annual assessment of crime, </w:t>
      </w:r>
      <w:proofErr w:type="gramStart"/>
      <w:r w:rsidRPr="00637C12">
        <w:rPr>
          <w:rFonts w:cstheme="minorHAnsi"/>
          <w:szCs w:val="24"/>
        </w:rPr>
        <w:t>disorder</w:t>
      </w:r>
      <w:proofErr w:type="gramEnd"/>
      <w:r w:rsidRPr="00637C12">
        <w:rPr>
          <w:rFonts w:cstheme="minorHAnsi"/>
          <w:szCs w:val="24"/>
        </w:rPr>
        <w:t xml:space="preserve"> and anti-social behaviour within the Borough.  This is known as the Strategic Assessment.   The requirements for a Strategic Assessment and Strategy were suspended during the emergency measures under Covid, and the work is now being carried out towards an updated strategy to be published in Spring 2022.  This will be based on a Strategic Assessment that is provided in draft alongside this report, and will be updated until publication alongside the Strategy.</w:t>
      </w:r>
    </w:p>
    <w:p w14:paraId="37661F5B" w14:textId="77777777" w:rsidR="00637C12" w:rsidRPr="00637C12" w:rsidRDefault="00637C12" w:rsidP="00637C12">
      <w:pPr>
        <w:rPr>
          <w:rFonts w:cstheme="minorHAnsi"/>
          <w:szCs w:val="24"/>
        </w:rPr>
      </w:pPr>
    </w:p>
    <w:p w14:paraId="63CDBBC7" w14:textId="6EF939B0" w:rsidR="00637C12" w:rsidRPr="00637C12" w:rsidRDefault="00637C12" w:rsidP="00637C12">
      <w:pPr>
        <w:rPr>
          <w:rFonts w:cstheme="minorHAnsi"/>
          <w:szCs w:val="24"/>
        </w:rPr>
      </w:pPr>
      <w:r w:rsidRPr="00637C12">
        <w:rPr>
          <w:rFonts w:cstheme="minorHAnsi"/>
          <w:szCs w:val="24"/>
        </w:rPr>
        <w:t>The Strategic Assessment considers a range of analysis across different crime types in the Borough. The assessment considers the priority areas that have previously been agreed with MOPAC as both locally relevant and in line with the Mayor’s priorities. These are:</w:t>
      </w:r>
    </w:p>
    <w:p w14:paraId="66A9AA57" w14:textId="77777777" w:rsidR="00637C12" w:rsidRPr="00637C12" w:rsidRDefault="00637C12" w:rsidP="00637C12">
      <w:pPr>
        <w:rPr>
          <w:rFonts w:cstheme="minorHAnsi"/>
          <w:szCs w:val="24"/>
        </w:rPr>
      </w:pPr>
    </w:p>
    <w:p w14:paraId="15F8BEC6" w14:textId="77777777" w:rsidR="00637C12" w:rsidRPr="0003271C" w:rsidRDefault="00637C12" w:rsidP="00637C12">
      <w:pPr>
        <w:rPr>
          <w:rFonts w:cstheme="minorHAnsi"/>
          <w:b/>
          <w:bCs/>
          <w:szCs w:val="24"/>
        </w:rPr>
      </w:pPr>
      <w:r w:rsidRPr="0003271C">
        <w:rPr>
          <w:rFonts w:cstheme="minorHAnsi"/>
          <w:b/>
          <w:bCs/>
          <w:szCs w:val="24"/>
        </w:rPr>
        <w:t>High Volume</w:t>
      </w:r>
    </w:p>
    <w:p w14:paraId="02BB6C61" w14:textId="1AE24CB7" w:rsidR="00637C12" w:rsidRPr="00195EF5" w:rsidRDefault="00637C12" w:rsidP="00195EF5">
      <w:pPr>
        <w:pStyle w:val="ListParagraph"/>
        <w:numPr>
          <w:ilvl w:val="0"/>
          <w:numId w:val="14"/>
        </w:numPr>
        <w:rPr>
          <w:rFonts w:cstheme="minorHAnsi"/>
          <w:szCs w:val="24"/>
        </w:rPr>
      </w:pPr>
      <w:r w:rsidRPr="00195EF5">
        <w:rPr>
          <w:rFonts w:cstheme="minorHAnsi"/>
          <w:szCs w:val="24"/>
        </w:rPr>
        <w:t xml:space="preserve">Burglary </w:t>
      </w:r>
    </w:p>
    <w:p w14:paraId="6B396C6C" w14:textId="5A3A9EB5" w:rsidR="00637C12" w:rsidRPr="00195EF5" w:rsidRDefault="00637C12" w:rsidP="00195EF5">
      <w:pPr>
        <w:pStyle w:val="ListParagraph"/>
        <w:numPr>
          <w:ilvl w:val="0"/>
          <w:numId w:val="14"/>
        </w:numPr>
        <w:rPr>
          <w:rFonts w:cstheme="minorHAnsi"/>
          <w:szCs w:val="24"/>
        </w:rPr>
      </w:pPr>
      <w:r w:rsidRPr="00195EF5">
        <w:rPr>
          <w:rFonts w:cstheme="minorHAnsi"/>
          <w:szCs w:val="24"/>
        </w:rPr>
        <w:t>Non-domestic violence with injury</w:t>
      </w:r>
    </w:p>
    <w:p w14:paraId="15016B5E" w14:textId="79C70B3B" w:rsidR="00637C12" w:rsidRPr="00195EF5" w:rsidRDefault="00637C12" w:rsidP="00195EF5">
      <w:pPr>
        <w:pStyle w:val="ListParagraph"/>
        <w:numPr>
          <w:ilvl w:val="0"/>
          <w:numId w:val="14"/>
        </w:numPr>
        <w:rPr>
          <w:rFonts w:cstheme="minorHAnsi"/>
          <w:szCs w:val="24"/>
        </w:rPr>
      </w:pPr>
      <w:r w:rsidRPr="00195EF5">
        <w:rPr>
          <w:rFonts w:cstheme="minorHAnsi"/>
          <w:szCs w:val="24"/>
        </w:rPr>
        <w:t>Anti-social behaviour</w:t>
      </w:r>
    </w:p>
    <w:p w14:paraId="7280B090" w14:textId="4C6E1DBF" w:rsidR="00637C12" w:rsidRPr="00195EF5" w:rsidRDefault="00637C12" w:rsidP="00195EF5">
      <w:pPr>
        <w:pStyle w:val="ListParagraph"/>
        <w:numPr>
          <w:ilvl w:val="0"/>
          <w:numId w:val="14"/>
        </w:numPr>
        <w:rPr>
          <w:rFonts w:cstheme="minorHAnsi"/>
          <w:szCs w:val="24"/>
        </w:rPr>
      </w:pPr>
      <w:r w:rsidRPr="00195EF5">
        <w:rPr>
          <w:rFonts w:cstheme="minorHAnsi"/>
          <w:szCs w:val="24"/>
        </w:rPr>
        <w:t>Vehicle Crime</w:t>
      </w:r>
    </w:p>
    <w:p w14:paraId="4E028616" w14:textId="77777777" w:rsidR="00637C12" w:rsidRPr="0003271C" w:rsidRDefault="00637C12" w:rsidP="00637C12">
      <w:pPr>
        <w:rPr>
          <w:rFonts w:cstheme="minorHAnsi"/>
          <w:szCs w:val="24"/>
        </w:rPr>
      </w:pPr>
    </w:p>
    <w:p w14:paraId="51DEEAE9" w14:textId="77777777" w:rsidR="00637C12" w:rsidRPr="0003271C" w:rsidRDefault="00637C12" w:rsidP="00637C12">
      <w:pPr>
        <w:rPr>
          <w:rFonts w:cstheme="minorHAnsi"/>
          <w:b/>
          <w:bCs/>
          <w:szCs w:val="24"/>
        </w:rPr>
      </w:pPr>
      <w:r w:rsidRPr="0003271C">
        <w:rPr>
          <w:rFonts w:cstheme="minorHAnsi"/>
          <w:b/>
          <w:bCs/>
          <w:szCs w:val="24"/>
        </w:rPr>
        <w:t>High Harm</w:t>
      </w:r>
    </w:p>
    <w:p w14:paraId="6FE6BC37" w14:textId="77777777" w:rsidR="00637C12" w:rsidRPr="0003271C" w:rsidRDefault="00637C12" w:rsidP="0003271C">
      <w:pPr>
        <w:ind w:left="359"/>
        <w:rPr>
          <w:rFonts w:cstheme="minorHAnsi"/>
          <w:szCs w:val="24"/>
        </w:rPr>
      </w:pPr>
      <w:r w:rsidRPr="0003271C">
        <w:rPr>
          <w:rFonts w:cstheme="minorHAnsi"/>
          <w:szCs w:val="24"/>
        </w:rPr>
        <w:t>5.</w:t>
      </w:r>
      <w:r w:rsidRPr="0003271C">
        <w:rPr>
          <w:rFonts w:cstheme="minorHAnsi"/>
          <w:szCs w:val="24"/>
        </w:rPr>
        <w:tab/>
        <w:t>Sexual Violence</w:t>
      </w:r>
    </w:p>
    <w:p w14:paraId="01CF8671" w14:textId="77777777" w:rsidR="00637C12" w:rsidRPr="0003271C" w:rsidRDefault="00637C12" w:rsidP="0003271C">
      <w:pPr>
        <w:ind w:left="359"/>
        <w:rPr>
          <w:rFonts w:cstheme="minorHAnsi"/>
          <w:szCs w:val="24"/>
        </w:rPr>
      </w:pPr>
      <w:r w:rsidRPr="0003271C">
        <w:rPr>
          <w:rFonts w:cstheme="minorHAnsi"/>
          <w:szCs w:val="24"/>
        </w:rPr>
        <w:t>6.</w:t>
      </w:r>
      <w:r w:rsidRPr="0003271C">
        <w:rPr>
          <w:rFonts w:cstheme="minorHAnsi"/>
          <w:szCs w:val="24"/>
        </w:rPr>
        <w:tab/>
        <w:t>Modern Slavery</w:t>
      </w:r>
    </w:p>
    <w:p w14:paraId="1165454A" w14:textId="77777777" w:rsidR="00637C12" w:rsidRPr="0003271C" w:rsidRDefault="00637C12" w:rsidP="0003271C">
      <w:pPr>
        <w:ind w:left="359"/>
        <w:rPr>
          <w:rFonts w:cstheme="minorHAnsi"/>
          <w:szCs w:val="24"/>
        </w:rPr>
      </w:pPr>
      <w:r w:rsidRPr="0003271C">
        <w:rPr>
          <w:rFonts w:cstheme="minorHAnsi"/>
          <w:szCs w:val="24"/>
        </w:rPr>
        <w:t>7.</w:t>
      </w:r>
      <w:r w:rsidRPr="0003271C">
        <w:rPr>
          <w:rFonts w:cstheme="minorHAnsi"/>
          <w:szCs w:val="24"/>
        </w:rPr>
        <w:tab/>
        <w:t>Domestic Abuse</w:t>
      </w:r>
    </w:p>
    <w:p w14:paraId="751FF01D" w14:textId="77777777" w:rsidR="00637C12" w:rsidRPr="0003271C" w:rsidRDefault="00637C12" w:rsidP="0003271C">
      <w:pPr>
        <w:ind w:left="359"/>
        <w:rPr>
          <w:rFonts w:cstheme="minorHAnsi"/>
          <w:szCs w:val="24"/>
        </w:rPr>
      </w:pPr>
      <w:r w:rsidRPr="0003271C">
        <w:rPr>
          <w:rFonts w:cstheme="minorHAnsi"/>
          <w:szCs w:val="24"/>
        </w:rPr>
        <w:t>8.</w:t>
      </w:r>
      <w:r w:rsidRPr="0003271C">
        <w:rPr>
          <w:rFonts w:cstheme="minorHAnsi"/>
          <w:szCs w:val="24"/>
        </w:rPr>
        <w:tab/>
        <w:t>Weapon Based Crime</w:t>
      </w:r>
    </w:p>
    <w:p w14:paraId="654B7D46" w14:textId="77777777" w:rsidR="00637C12" w:rsidRPr="0003271C" w:rsidRDefault="00637C12" w:rsidP="0003271C">
      <w:pPr>
        <w:ind w:left="359"/>
        <w:rPr>
          <w:rFonts w:cstheme="minorHAnsi"/>
          <w:szCs w:val="24"/>
        </w:rPr>
      </w:pPr>
      <w:r w:rsidRPr="0003271C">
        <w:rPr>
          <w:rFonts w:cstheme="minorHAnsi"/>
          <w:szCs w:val="24"/>
        </w:rPr>
        <w:t>9.</w:t>
      </w:r>
      <w:r w:rsidRPr="0003271C">
        <w:rPr>
          <w:rFonts w:cstheme="minorHAnsi"/>
          <w:szCs w:val="24"/>
        </w:rPr>
        <w:tab/>
        <w:t>Hate Crime</w:t>
      </w:r>
    </w:p>
    <w:p w14:paraId="1C11C045" w14:textId="77777777" w:rsidR="00637C12" w:rsidRPr="00637C12" w:rsidRDefault="00637C12" w:rsidP="00637C12">
      <w:pPr>
        <w:rPr>
          <w:rFonts w:cstheme="minorHAnsi"/>
          <w:szCs w:val="24"/>
        </w:rPr>
      </w:pPr>
      <w:r w:rsidRPr="00637C12">
        <w:rPr>
          <w:rFonts w:cstheme="minorHAnsi"/>
          <w:szCs w:val="24"/>
        </w:rPr>
        <w:t xml:space="preserve"> </w:t>
      </w:r>
    </w:p>
    <w:p w14:paraId="0BD91253" w14:textId="242EDF0C" w:rsidR="00EE1F9E" w:rsidRDefault="00637C12" w:rsidP="00637C12">
      <w:pPr>
        <w:rPr>
          <w:rFonts w:cstheme="minorHAnsi"/>
          <w:szCs w:val="24"/>
        </w:rPr>
      </w:pPr>
      <w:r w:rsidRPr="00637C12">
        <w:rPr>
          <w:rFonts w:cstheme="minorHAnsi"/>
          <w:szCs w:val="24"/>
        </w:rPr>
        <w:t>As a result of the Strategic Assessment, we believe the priorities should remain the same. However, the Strategy will be updated accordingly based on responses from stakeholders.</w:t>
      </w:r>
    </w:p>
    <w:p w14:paraId="759AE505" w14:textId="478DCD5A" w:rsidR="00637C12" w:rsidRDefault="00637C12" w:rsidP="00637C12"/>
    <w:p w14:paraId="260BCEB6" w14:textId="77777777" w:rsidR="00195EF5" w:rsidRDefault="00195EF5" w:rsidP="00637C12"/>
    <w:p w14:paraId="1CF2B7FB" w14:textId="352F9B7D" w:rsidR="000064A3" w:rsidRPr="000F2599" w:rsidRDefault="00637C12" w:rsidP="00195EF5">
      <w:pPr>
        <w:pStyle w:val="Heading2"/>
      </w:pPr>
      <w:r>
        <w:lastRenderedPageBreak/>
        <w:t>Legal</w:t>
      </w:r>
      <w:r w:rsidR="005441BD" w:rsidRPr="00622741">
        <w:t xml:space="preserve"> Implications</w:t>
      </w:r>
    </w:p>
    <w:p w14:paraId="44B4F86B" w14:textId="77777777" w:rsidR="00637C12" w:rsidRDefault="00637C12" w:rsidP="00637C12">
      <w:pPr>
        <w:pStyle w:val="Heading2"/>
        <w:rPr>
          <w:rFonts w:ascii="Arial" w:hAnsi="Arial"/>
          <w:bCs w:val="0"/>
          <w:color w:val="000000"/>
          <w:sz w:val="24"/>
          <w:szCs w:val="24"/>
          <w:lang w:eastAsia="en-GB"/>
        </w:rPr>
      </w:pPr>
      <w:r w:rsidRPr="00637C12">
        <w:rPr>
          <w:rFonts w:ascii="Arial" w:hAnsi="Arial"/>
          <w:bCs w:val="0"/>
          <w:color w:val="000000"/>
          <w:sz w:val="24"/>
          <w:szCs w:val="24"/>
          <w:lang w:eastAsia="en-GB"/>
        </w:rPr>
        <w:t>This Strategic Assessment is to be considered by Overview and Scrutiny Committee to inform the Community Safety Strategy. The Strategy will be referred to the Overview and Scrutiny Committee and Cabinet, with ultimate approval reserved to Council, as set out in the Council’s Budget and Policy Framework Procedure Rules.</w:t>
      </w:r>
    </w:p>
    <w:p w14:paraId="51D58F7D" w14:textId="77777777" w:rsidR="00637C12" w:rsidRDefault="00637C12" w:rsidP="00637C12">
      <w:pPr>
        <w:pStyle w:val="Heading2"/>
        <w:rPr>
          <w:rFonts w:ascii="Arial" w:hAnsi="Arial"/>
          <w:bCs w:val="0"/>
          <w:color w:val="000000"/>
          <w:sz w:val="24"/>
          <w:szCs w:val="24"/>
          <w:lang w:eastAsia="en-GB"/>
        </w:rPr>
      </w:pPr>
      <w:r w:rsidRPr="00637C12">
        <w:rPr>
          <w:rFonts w:ascii="Arial" w:hAnsi="Arial"/>
          <w:bCs w:val="0"/>
          <w:color w:val="000000"/>
          <w:sz w:val="24"/>
          <w:szCs w:val="24"/>
          <w:lang w:eastAsia="en-GB"/>
        </w:rPr>
        <w:t>The Crime and Disorder Act 1998, as amended by the Policing and Crime Act 2009 requires that the Partnership be set up, and the formulation of the strategy is required under s6 of the Crime and Disorder Act 1998.</w:t>
      </w:r>
    </w:p>
    <w:p w14:paraId="3FC2A550" w14:textId="5335CBBA" w:rsidR="00637C12" w:rsidRPr="00637C12" w:rsidRDefault="00637C12" w:rsidP="00637C12">
      <w:pPr>
        <w:pStyle w:val="Heading2"/>
        <w:rPr>
          <w:rFonts w:ascii="Arial" w:hAnsi="Arial"/>
          <w:bCs w:val="0"/>
          <w:color w:val="000000"/>
          <w:sz w:val="24"/>
          <w:szCs w:val="24"/>
          <w:lang w:eastAsia="en-GB"/>
        </w:rPr>
      </w:pPr>
      <w:r w:rsidRPr="00637C12">
        <w:rPr>
          <w:rFonts w:ascii="Arial" w:hAnsi="Arial"/>
          <w:bCs w:val="0"/>
          <w:color w:val="000000"/>
          <w:sz w:val="24"/>
          <w:szCs w:val="24"/>
          <w:lang w:eastAsia="en-GB"/>
        </w:rPr>
        <w:t>Under section 7 of The Crime and Disorder (Formulation and Implementation of Strategy) Regulations 2007 the strategic assessment must include:</w:t>
      </w:r>
    </w:p>
    <w:p w14:paraId="00394AA1" w14:textId="20EC5DB7" w:rsidR="00637C12" w:rsidRPr="00637C12" w:rsidRDefault="00637C12" w:rsidP="0032107A">
      <w:pPr>
        <w:pStyle w:val="Heading2"/>
        <w:numPr>
          <w:ilvl w:val="0"/>
          <w:numId w:val="7"/>
        </w:numPr>
        <w:rPr>
          <w:rFonts w:ascii="Arial" w:hAnsi="Arial"/>
          <w:bCs w:val="0"/>
          <w:color w:val="000000"/>
          <w:sz w:val="24"/>
          <w:szCs w:val="24"/>
          <w:lang w:eastAsia="en-GB"/>
        </w:rPr>
      </w:pPr>
      <w:r w:rsidRPr="00637C12">
        <w:rPr>
          <w:rFonts w:ascii="Arial" w:hAnsi="Arial"/>
          <w:bCs w:val="0"/>
          <w:color w:val="000000"/>
          <w:sz w:val="24"/>
          <w:szCs w:val="24"/>
          <w:lang w:eastAsia="en-GB"/>
        </w:rPr>
        <w:t>an analysis of the levels and patterns of crime and disorder and substance misuse in the area;</w:t>
      </w:r>
    </w:p>
    <w:p w14:paraId="30F0C1CE" w14:textId="00481250" w:rsidR="00637C12" w:rsidRPr="00637C12" w:rsidRDefault="00637C12" w:rsidP="0032107A">
      <w:pPr>
        <w:pStyle w:val="Heading2"/>
        <w:numPr>
          <w:ilvl w:val="0"/>
          <w:numId w:val="7"/>
        </w:numPr>
        <w:rPr>
          <w:rFonts w:ascii="Arial" w:hAnsi="Arial"/>
          <w:bCs w:val="0"/>
          <w:color w:val="000000"/>
          <w:sz w:val="24"/>
          <w:szCs w:val="24"/>
          <w:lang w:eastAsia="en-GB"/>
        </w:rPr>
      </w:pPr>
      <w:r w:rsidRPr="00637C12">
        <w:rPr>
          <w:rFonts w:ascii="Arial" w:hAnsi="Arial"/>
          <w:bCs w:val="0"/>
          <w:color w:val="000000"/>
          <w:sz w:val="24"/>
          <w:szCs w:val="24"/>
          <w:lang w:eastAsia="en-GB"/>
        </w:rPr>
        <w:t>an analysis of the changes in those levels and patterns since the previous strategic assessment;</w:t>
      </w:r>
    </w:p>
    <w:p w14:paraId="1F47C1F9" w14:textId="67F32D80" w:rsidR="00637C12" w:rsidRPr="00637C12" w:rsidRDefault="00637C12" w:rsidP="0032107A">
      <w:pPr>
        <w:pStyle w:val="Heading2"/>
        <w:numPr>
          <w:ilvl w:val="0"/>
          <w:numId w:val="7"/>
        </w:numPr>
        <w:rPr>
          <w:rFonts w:ascii="Arial" w:hAnsi="Arial"/>
          <w:bCs w:val="0"/>
          <w:color w:val="000000"/>
          <w:sz w:val="24"/>
          <w:szCs w:val="24"/>
          <w:lang w:eastAsia="en-GB"/>
        </w:rPr>
      </w:pPr>
      <w:r w:rsidRPr="00637C12">
        <w:rPr>
          <w:rFonts w:ascii="Arial" w:hAnsi="Arial"/>
          <w:bCs w:val="0"/>
          <w:color w:val="000000"/>
          <w:sz w:val="24"/>
          <w:szCs w:val="24"/>
          <w:lang w:eastAsia="en-GB"/>
        </w:rPr>
        <w:t>an analysis of why those changes have occurred;</w:t>
      </w:r>
    </w:p>
    <w:p w14:paraId="1EE92FEC" w14:textId="7725684E" w:rsidR="00637C12" w:rsidRPr="00637C12" w:rsidRDefault="00637C12" w:rsidP="0032107A">
      <w:pPr>
        <w:pStyle w:val="Heading2"/>
        <w:numPr>
          <w:ilvl w:val="0"/>
          <w:numId w:val="7"/>
        </w:numPr>
        <w:rPr>
          <w:rFonts w:ascii="Arial" w:hAnsi="Arial"/>
          <w:bCs w:val="0"/>
          <w:color w:val="000000"/>
          <w:sz w:val="24"/>
          <w:szCs w:val="24"/>
          <w:lang w:eastAsia="en-GB"/>
        </w:rPr>
      </w:pPr>
      <w:r w:rsidRPr="00637C12">
        <w:rPr>
          <w:rFonts w:ascii="Arial" w:hAnsi="Arial"/>
          <w:bCs w:val="0"/>
          <w:color w:val="000000"/>
          <w:sz w:val="24"/>
          <w:szCs w:val="24"/>
          <w:lang w:eastAsia="en-GB"/>
        </w:rPr>
        <w:t>the matters which the responsible authorities should prioritise when each are exercising their functions to reduce crime and disorder and to combat substance misuse in the area;</w:t>
      </w:r>
    </w:p>
    <w:p w14:paraId="72E028A1" w14:textId="711F7AA2" w:rsidR="00637C12" w:rsidRPr="00637C12" w:rsidRDefault="00637C12" w:rsidP="0032107A">
      <w:pPr>
        <w:pStyle w:val="Heading2"/>
        <w:numPr>
          <w:ilvl w:val="0"/>
          <w:numId w:val="7"/>
        </w:numPr>
        <w:rPr>
          <w:rFonts w:ascii="Arial" w:hAnsi="Arial"/>
          <w:bCs w:val="0"/>
          <w:color w:val="000000"/>
          <w:sz w:val="24"/>
          <w:szCs w:val="24"/>
          <w:lang w:eastAsia="en-GB"/>
        </w:rPr>
      </w:pPr>
      <w:r w:rsidRPr="00637C12">
        <w:rPr>
          <w:rFonts w:ascii="Arial" w:hAnsi="Arial"/>
          <w:bCs w:val="0"/>
          <w:color w:val="000000"/>
          <w:sz w:val="24"/>
          <w:szCs w:val="24"/>
          <w:lang w:eastAsia="en-GB"/>
        </w:rPr>
        <w:t>the matters which the persons living and working in the area consider the responsible authorities should prioritise when each are exercising their functions to reduce crime and disorder and to combat substance misuse in the area;</w:t>
      </w:r>
    </w:p>
    <w:p w14:paraId="1C8395A9" w14:textId="5FB09442" w:rsidR="00637C12" w:rsidRPr="00637C12" w:rsidRDefault="00637C12" w:rsidP="0032107A">
      <w:pPr>
        <w:pStyle w:val="Heading2"/>
        <w:numPr>
          <w:ilvl w:val="0"/>
          <w:numId w:val="7"/>
        </w:numPr>
        <w:rPr>
          <w:rFonts w:ascii="Arial" w:hAnsi="Arial"/>
          <w:bCs w:val="0"/>
          <w:color w:val="000000"/>
          <w:sz w:val="24"/>
          <w:szCs w:val="24"/>
          <w:lang w:eastAsia="en-GB"/>
        </w:rPr>
      </w:pPr>
      <w:r w:rsidRPr="00637C12">
        <w:rPr>
          <w:rFonts w:ascii="Arial" w:hAnsi="Arial"/>
          <w:bCs w:val="0"/>
          <w:color w:val="000000"/>
          <w:sz w:val="24"/>
          <w:szCs w:val="24"/>
          <w:lang w:eastAsia="en-GB"/>
        </w:rPr>
        <w:t>an assessment of the extent to which the partnership plan for the previous year has been implemented; and</w:t>
      </w:r>
    </w:p>
    <w:p w14:paraId="7F1140E5" w14:textId="1434881D" w:rsidR="00637C12" w:rsidRPr="00637C12" w:rsidRDefault="00637C12" w:rsidP="0032107A">
      <w:pPr>
        <w:pStyle w:val="Heading2"/>
        <w:numPr>
          <w:ilvl w:val="0"/>
          <w:numId w:val="7"/>
        </w:numPr>
        <w:rPr>
          <w:rFonts w:ascii="Arial" w:hAnsi="Arial"/>
          <w:bCs w:val="0"/>
          <w:color w:val="000000"/>
          <w:sz w:val="24"/>
          <w:szCs w:val="24"/>
          <w:lang w:eastAsia="en-GB"/>
        </w:rPr>
      </w:pPr>
      <w:r w:rsidRPr="00637C12">
        <w:rPr>
          <w:rFonts w:ascii="Arial" w:hAnsi="Arial"/>
          <w:bCs w:val="0"/>
          <w:color w:val="000000"/>
          <w:sz w:val="24"/>
          <w:szCs w:val="24"/>
          <w:lang w:eastAsia="en-GB"/>
        </w:rPr>
        <w:t>details of those matters that the strategy group considers should be brought to the attention of the county strategy group to assist it in exercising its functions under these Regulations.</w:t>
      </w:r>
    </w:p>
    <w:p w14:paraId="53F37C7D" w14:textId="26D40C53" w:rsidR="00637C12" w:rsidRDefault="00637C12" w:rsidP="00637C12">
      <w:pPr>
        <w:pStyle w:val="Heading2"/>
        <w:rPr>
          <w:rFonts w:ascii="Arial" w:hAnsi="Arial"/>
          <w:bCs w:val="0"/>
          <w:color w:val="000000"/>
          <w:sz w:val="24"/>
          <w:szCs w:val="24"/>
          <w:lang w:eastAsia="en-GB"/>
        </w:rPr>
      </w:pPr>
    </w:p>
    <w:p w14:paraId="2FE993A3" w14:textId="2ED192A2" w:rsidR="0032107A" w:rsidRDefault="0032107A" w:rsidP="0032107A">
      <w:pPr>
        <w:rPr>
          <w:lang w:eastAsia="en-GB"/>
        </w:rPr>
      </w:pPr>
    </w:p>
    <w:p w14:paraId="38F31018" w14:textId="7E6CD2DD" w:rsidR="0032107A" w:rsidRDefault="0032107A" w:rsidP="0032107A">
      <w:pPr>
        <w:rPr>
          <w:lang w:eastAsia="en-GB"/>
        </w:rPr>
      </w:pPr>
    </w:p>
    <w:p w14:paraId="2FE25AED" w14:textId="77777777" w:rsidR="00195EF5" w:rsidRPr="0032107A" w:rsidRDefault="00195EF5" w:rsidP="0032107A">
      <w:pPr>
        <w:rPr>
          <w:lang w:eastAsia="en-GB"/>
        </w:rPr>
      </w:pPr>
    </w:p>
    <w:p w14:paraId="5706DEAE" w14:textId="5FBD27E2" w:rsidR="00637C12" w:rsidRPr="00637C12" w:rsidRDefault="00637C12" w:rsidP="00637C12">
      <w:pPr>
        <w:pStyle w:val="Heading2"/>
        <w:rPr>
          <w:rFonts w:ascii="Arial" w:hAnsi="Arial"/>
          <w:bCs w:val="0"/>
          <w:color w:val="000000"/>
          <w:sz w:val="24"/>
          <w:szCs w:val="24"/>
          <w:lang w:eastAsia="en-GB"/>
        </w:rPr>
      </w:pPr>
      <w:r w:rsidRPr="00637C12">
        <w:rPr>
          <w:rFonts w:ascii="Arial" w:hAnsi="Arial"/>
          <w:bCs w:val="0"/>
          <w:color w:val="000000"/>
          <w:sz w:val="24"/>
          <w:szCs w:val="24"/>
          <w:lang w:eastAsia="en-GB"/>
        </w:rPr>
        <w:lastRenderedPageBreak/>
        <w:t xml:space="preserve">These requirements are fulfilled through the Strategic </w:t>
      </w:r>
      <w:proofErr w:type="gramStart"/>
      <w:r w:rsidRPr="00637C12">
        <w:rPr>
          <w:rFonts w:ascii="Arial" w:hAnsi="Arial"/>
          <w:bCs w:val="0"/>
          <w:color w:val="000000"/>
          <w:sz w:val="24"/>
          <w:szCs w:val="24"/>
          <w:lang w:eastAsia="en-GB"/>
        </w:rPr>
        <w:t>Assessment</w:t>
      </w:r>
      <w:proofErr w:type="gramEnd"/>
      <w:r w:rsidRPr="00637C12">
        <w:rPr>
          <w:rFonts w:ascii="Arial" w:hAnsi="Arial"/>
          <w:bCs w:val="0"/>
          <w:color w:val="000000"/>
          <w:sz w:val="24"/>
          <w:szCs w:val="24"/>
          <w:lang w:eastAsia="en-GB"/>
        </w:rPr>
        <w:t xml:space="preserve"> which is appended and the partnership plan, which is being developed from the assessment.</w:t>
      </w:r>
    </w:p>
    <w:p w14:paraId="4782ED34" w14:textId="76AFE7A8" w:rsidR="00637C12" w:rsidRPr="00637C12" w:rsidRDefault="00637C12" w:rsidP="00637C12">
      <w:pPr>
        <w:pStyle w:val="Heading2"/>
        <w:rPr>
          <w:rFonts w:ascii="Arial" w:hAnsi="Arial"/>
          <w:bCs w:val="0"/>
          <w:color w:val="000000"/>
          <w:sz w:val="24"/>
          <w:szCs w:val="24"/>
          <w:lang w:eastAsia="en-GB"/>
        </w:rPr>
      </w:pPr>
      <w:r w:rsidRPr="00637C12">
        <w:rPr>
          <w:rFonts w:ascii="Arial" w:hAnsi="Arial"/>
          <w:bCs w:val="0"/>
          <w:color w:val="000000"/>
          <w:sz w:val="24"/>
          <w:szCs w:val="24"/>
          <w:lang w:eastAsia="en-GB"/>
        </w:rPr>
        <w:t>Under section 11 the partnership plans must set out:</w:t>
      </w:r>
    </w:p>
    <w:p w14:paraId="04D2D09E" w14:textId="6E96386E" w:rsidR="00637C12" w:rsidRPr="00637C12" w:rsidRDefault="00637C12" w:rsidP="0032107A">
      <w:pPr>
        <w:pStyle w:val="Heading2"/>
        <w:numPr>
          <w:ilvl w:val="0"/>
          <w:numId w:val="8"/>
        </w:numPr>
        <w:rPr>
          <w:rFonts w:ascii="Arial" w:hAnsi="Arial"/>
          <w:bCs w:val="0"/>
          <w:color w:val="000000"/>
          <w:sz w:val="24"/>
          <w:szCs w:val="24"/>
          <w:lang w:eastAsia="en-GB"/>
        </w:rPr>
      </w:pPr>
      <w:r w:rsidRPr="00637C12">
        <w:rPr>
          <w:rFonts w:ascii="Arial" w:hAnsi="Arial"/>
          <w:bCs w:val="0"/>
          <w:color w:val="000000"/>
          <w:sz w:val="24"/>
          <w:szCs w:val="24"/>
          <w:lang w:eastAsia="en-GB"/>
        </w:rPr>
        <w:t xml:space="preserve">a strategy for the reduction of crime and disorder and for combating substance misuse in the area in the </w:t>
      </w:r>
      <w:proofErr w:type="gramStart"/>
      <w:r w:rsidRPr="00637C12">
        <w:rPr>
          <w:rFonts w:ascii="Arial" w:hAnsi="Arial"/>
          <w:bCs w:val="0"/>
          <w:color w:val="000000"/>
          <w:sz w:val="24"/>
          <w:szCs w:val="24"/>
          <w:lang w:eastAsia="en-GB"/>
        </w:rPr>
        <w:t>three year</w:t>
      </w:r>
      <w:proofErr w:type="gramEnd"/>
      <w:r w:rsidRPr="00637C12">
        <w:rPr>
          <w:rFonts w:ascii="Arial" w:hAnsi="Arial"/>
          <w:bCs w:val="0"/>
          <w:color w:val="000000"/>
          <w:sz w:val="24"/>
          <w:szCs w:val="24"/>
          <w:lang w:eastAsia="en-GB"/>
        </w:rPr>
        <w:t xml:space="preserve"> period beginning with the year referred to in regulation 10(2);</w:t>
      </w:r>
    </w:p>
    <w:p w14:paraId="2699E004" w14:textId="76364544" w:rsidR="00637C12" w:rsidRPr="00637C12" w:rsidRDefault="00637C12" w:rsidP="0032107A">
      <w:pPr>
        <w:pStyle w:val="Heading2"/>
        <w:numPr>
          <w:ilvl w:val="0"/>
          <w:numId w:val="8"/>
        </w:numPr>
        <w:rPr>
          <w:rFonts w:ascii="Arial" w:hAnsi="Arial"/>
          <w:bCs w:val="0"/>
          <w:color w:val="000000"/>
          <w:sz w:val="24"/>
          <w:szCs w:val="24"/>
          <w:lang w:eastAsia="en-GB"/>
        </w:rPr>
      </w:pPr>
      <w:r w:rsidRPr="00637C12">
        <w:rPr>
          <w:rFonts w:ascii="Arial" w:hAnsi="Arial"/>
          <w:bCs w:val="0"/>
          <w:color w:val="000000"/>
          <w:sz w:val="24"/>
          <w:szCs w:val="24"/>
          <w:lang w:eastAsia="en-GB"/>
        </w:rPr>
        <w:t>the priorities identified in the strategic assessment prepared during the year prior to the year referred to in regulation 10(2);</w:t>
      </w:r>
    </w:p>
    <w:p w14:paraId="7833D024" w14:textId="1B0C401C" w:rsidR="00637C12" w:rsidRPr="00637C12" w:rsidRDefault="00637C12" w:rsidP="0032107A">
      <w:pPr>
        <w:pStyle w:val="Heading2"/>
        <w:numPr>
          <w:ilvl w:val="0"/>
          <w:numId w:val="8"/>
        </w:numPr>
        <w:rPr>
          <w:rFonts w:ascii="Arial" w:hAnsi="Arial"/>
          <w:bCs w:val="0"/>
          <w:color w:val="000000"/>
          <w:sz w:val="24"/>
          <w:szCs w:val="24"/>
          <w:lang w:eastAsia="en-GB"/>
        </w:rPr>
      </w:pPr>
      <w:r w:rsidRPr="00637C12">
        <w:rPr>
          <w:rFonts w:ascii="Arial" w:hAnsi="Arial"/>
          <w:bCs w:val="0"/>
          <w:color w:val="000000"/>
          <w:sz w:val="24"/>
          <w:szCs w:val="24"/>
          <w:lang w:eastAsia="en-GB"/>
        </w:rPr>
        <w:t>the steps the strategy group considers it necessary for the responsible authorities to take to implement that strategy and meet those priorities;</w:t>
      </w:r>
    </w:p>
    <w:p w14:paraId="76C4FB59" w14:textId="40043622" w:rsidR="00637C12" w:rsidRPr="00637C12" w:rsidRDefault="00637C12" w:rsidP="0032107A">
      <w:pPr>
        <w:pStyle w:val="Heading2"/>
        <w:numPr>
          <w:ilvl w:val="0"/>
          <w:numId w:val="8"/>
        </w:numPr>
        <w:rPr>
          <w:rFonts w:ascii="Arial" w:hAnsi="Arial"/>
          <w:bCs w:val="0"/>
          <w:color w:val="000000"/>
          <w:sz w:val="24"/>
          <w:szCs w:val="24"/>
          <w:lang w:eastAsia="en-GB"/>
        </w:rPr>
      </w:pPr>
      <w:r w:rsidRPr="00637C12">
        <w:rPr>
          <w:rFonts w:ascii="Arial" w:hAnsi="Arial"/>
          <w:bCs w:val="0"/>
          <w:color w:val="000000"/>
          <w:sz w:val="24"/>
          <w:szCs w:val="24"/>
          <w:lang w:eastAsia="en-GB"/>
        </w:rPr>
        <w:t>how the strategy group considers the responsible authorities should allocate and deploy their resources to implement that strategy and meet those priorities;</w:t>
      </w:r>
    </w:p>
    <w:p w14:paraId="7DEB7259" w14:textId="7C9D8685" w:rsidR="00637C12" w:rsidRPr="00637C12" w:rsidRDefault="00637C12" w:rsidP="0032107A">
      <w:pPr>
        <w:pStyle w:val="Heading2"/>
        <w:numPr>
          <w:ilvl w:val="0"/>
          <w:numId w:val="8"/>
        </w:numPr>
        <w:rPr>
          <w:rFonts w:ascii="Arial" w:hAnsi="Arial"/>
          <w:bCs w:val="0"/>
          <w:color w:val="000000"/>
          <w:sz w:val="24"/>
          <w:szCs w:val="24"/>
          <w:lang w:eastAsia="en-GB"/>
        </w:rPr>
      </w:pPr>
      <w:r w:rsidRPr="00637C12">
        <w:rPr>
          <w:rFonts w:ascii="Arial" w:hAnsi="Arial"/>
          <w:bCs w:val="0"/>
          <w:color w:val="000000"/>
          <w:sz w:val="24"/>
          <w:szCs w:val="24"/>
          <w:lang w:eastAsia="en-GB"/>
        </w:rPr>
        <w:t>the steps each responsible authority shall take to measure its success in implementing the strategy and meeting those priorities; and</w:t>
      </w:r>
    </w:p>
    <w:p w14:paraId="1D268661" w14:textId="195C4054" w:rsidR="00637C12" w:rsidRPr="0032107A" w:rsidRDefault="00637C12" w:rsidP="00637C12">
      <w:pPr>
        <w:pStyle w:val="Heading2"/>
        <w:numPr>
          <w:ilvl w:val="0"/>
          <w:numId w:val="8"/>
        </w:numPr>
        <w:rPr>
          <w:rFonts w:ascii="Arial" w:hAnsi="Arial"/>
          <w:bCs w:val="0"/>
          <w:color w:val="000000"/>
          <w:sz w:val="24"/>
          <w:szCs w:val="24"/>
          <w:lang w:eastAsia="en-GB"/>
        </w:rPr>
      </w:pPr>
      <w:r w:rsidRPr="00637C12">
        <w:rPr>
          <w:rFonts w:ascii="Arial" w:hAnsi="Arial"/>
          <w:bCs w:val="0"/>
          <w:color w:val="000000"/>
          <w:sz w:val="24"/>
          <w:szCs w:val="24"/>
          <w:lang w:eastAsia="en-GB"/>
        </w:rPr>
        <w:t>the steps the strategy group proposes to take during the year to comply with its obligations under regulations 12, 13 and 14.</w:t>
      </w:r>
    </w:p>
    <w:p w14:paraId="4EB1CE2D" w14:textId="031C9F5A" w:rsidR="00637C12" w:rsidRPr="00637C12" w:rsidRDefault="00637C12" w:rsidP="00637C12">
      <w:pPr>
        <w:pStyle w:val="Heading2"/>
        <w:rPr>
          <w:rFonts w:ascii="Arial" w:hAnsi="Arial"/>
          <w:bCs w:val="0"/>
          <w:color w:val="000000"/>
          <w:sz w:val="24"/>
          <w:szCs w:val="24"/>
          <w:lang w:eastAsia="en-GB"/>
        </w:rPr>
      </w:pPr>
      <w:r w:rsidRPr="00637C12">
        <w:rPr>
          <w:rFonts w:ascii="Arial" w:hAnsi="Arial"/>
          <w:bCs w:val="0"/>
          <w:color w:val="000000"/>
          <w:sz w:val="24"/>
          <w:szCs w:val="24"/>
          <w:lang w:eastAsia="en-GB"/>
        </w:rPr>
        <w:t xml:space="preserve">Section 17 of the Act imposes a duty on the Council when exercising its functions to have due regard to the likely effect of the exercise of those functions on, and the need to prevent, crime and disorder (including anti-social and other behaviour adversely affecting the local environment), misuse of drugs, </w:t>
      </w:r>
      <w:proofErr w:type="gramStart"/>
      <w:r w:rsidRPr="00637C12">
        <w:rPr>
          <w:rFonts w:ascii="Arial" w:hAnsi="Arial"/>
          <w:bCs w:val="0"/>
          <w:color w:val="000000"/>
          <w:sz w:val="24"/>
          <w:szCs w:val="24"/>
          <w:lang w:eastAsia="en-GB"/>
        </w:rPr>
        <w:t>alcohol</w:t>
      </w:r>
      <w:proofErr w:type="gramEnd"/>
      <w:r w:rsidRPr="00637C12">
        <w:rPr>
          <w:rFonts w:ascii="Arial" w:hAnsi="Arial"/>
          <w:bCs w:val="0"/>
          <w:color w:val="000000"/>
          <w:sz w:val="24"/>
          <w:szCs w:val="24"/>
          <w:lang w:eastAsia="en-GB"/>
        </w:rPr>
        <w:t xml:space="preserve"> and other substances, and re offending.</w:t>
      </w:r>
    </w:p>
    <w:p w14:paraId="08034E26" w14:textId="77777777" w:rsidR="0032107A" w:rsidRDefault="00637C12" w:rsidP="00637C12">
      <w:pPr>
        <w:pStyle w:val="Heading2"/>
        <w:rPr>
          <w:rFonts w:ascii="Arial" w:hAnsi="Arial"/>
          <w:bCs w:val="0"/>
          <w:color w:val="000000"/>
          <w:sz w:val="24"/>
          <w:szCs w:val="24"/>
          <w:lang w:eastAsia="en-GB"/>
        </w:rPr>
      </w:pPr>
      <w:r w:rsidRPr="00637C12">
        <w:rPr>
          <w:rFonts w:ascii="Arial" w:hAnsi="Arial"/>
          <w:bCs w:val="0"/>
          <w:color w:val="000000"/>
          <w:sz w:val="24"/>
          <w:szCs w:val="24"/>
          <w:lang w:eastAsia="en-GB"/>
        </w:rPr>
        <w:t>The draft Community Safety Strategy is scheduled to be presented to the Overview and Scrutiny Committee on the 8th February 2022.</w:t>
      </w:r>
    </w:p>
    <w:p w14:paraId="448E27C1" w14:textId="77777777" w:rsidR="0032107A" w:rsidRDefault="0032107A" w:rsidP="0032107A">
      <w:pPr>
        <w:pStyle w:val="Heading2"/>
      </w:pPr>
      <w:r>
        <w:t>Financial Implications</w:t>
      </w:r>
    </w:p>
    <w:p w14:paraId="60C47576" w14:textId="77777777" w:rsidR="0032107A" w:rsidRDefault="0032107A" w:rsidP="0032107A">
      <w:pPr>
        <w:pStyle w:val="Heading2"/>
        <w:spacing w:before="0"/>
      </w:pPr>
    </w:p>
    <w:p w14:paraId="01549749" w14:textId="7890A986" w:rsidR="0032107A" w:rsidRPr="0032107A" w:rsidRDefault="0032107A" w:rsidP="0032107A">
      <w:pPr>
        <w:pStyle w:val="Heading2"/>
        <w:spacing w:before="0"/>
      </w:pPr>
      <w:r w:rsidRPr="0032107A">
        <w:rPr>
          <w:rFonts w:ascii="Arial" w:hAnsi="Arial"/>
          <w:bCs w:val="0"/>
          <w:color w:val="000000"/>
          <w:sz w:val="24"/>
          <w:szCs w:val="24"/>
          <w:lang w:eastAsia="en-GB"/>
        </w:rPr>
        <w:t>All Councils have received funding under MOPAC London Crime Prevention Fund to tackle priorities in the new London Police and Crime Plan. We received £200,271 for financial year 2021-2022 towards projects and an additional £10k for the Children and Adults Safeguarding Boards. Funding from 2022-23 to 2024-25 is not yet confirmed but we should expect to receive something in the region of just under £700k across the 3 financial years, so around £230k pa.</w:t>
      </w:r>
    </w:p>
    <w:p w14:paraId="4D77B1C5" w14:textId="593566CC" w:rsidR="0032107A" w:rsidRDefault="0032107A" w:rsidP="00B36547">
      <w:pPr>
        <w:pStyle w:val="Heading2"/>
        <w:keepNext/>
      </w:pPr>
      <w:r>
        <w:lastRenderedPageBreak/>
        <w:t>Performance Issues</w:t>
      </w:r>
    </w:p>
    <w:p w14:paraId="70B57D78" w14:textId="7D9B4ADE" w:rsidR="0032107A" w:rsidRDefault="0032107A" w:rsidP="0032107A"/>
    <w:p w14:paraId="4994249A" w14:textId="72E1165C" w:rsidR="0032107A" w:rsidRPr="0032107A" w:rsidRDefault="0032107A" w:rsidP="0032107A">
      <w:r w:rsidRPr="0032107A">
        <w:t>The Strategic Assessment provides a wide range of crime measures that will shape the Strategy through the Safer Harrow Partnership. Key crime measures are reported quarterly via the Corporate Scorecard and are also monitored through Safer Harrow.</w:t>
      </w:r>
    </w:p>
    <w:p w14:paraId="5FB33F48" w14:textId="1C03254C" w:rsidR="00425B19" w:rsidRDefault="00E446E9" w:rsidP="0032107A">
      <w:pPr>
        <w:pStyle w:val="Heading2"/>
        <w:keepNext/>
      </w:pPr>
      <w:r w:rsidRPr="000F2599">
        <w:t>Environmental Impact</w:t>
      </w:r>
    </w:p>
    <w:p w14:paraId="1A8283B3" w14:textId="77777777" w:rsidR="0032107A" w:rsidRDefault="0032107A" w:rsidP="00B36547">
      <w:pPr>
        <w:pStyle w:val="Heading2"/>
        <w:keepNext/>
        <w:rPr>
          <w:rFonts w:ascii="Arial" w:hAnsi="Arial" w:cs="Times New Roman"/>
          <w:bCs w:val="0"/>
          <w:sz w:val="24"/>
          <w:szCs w:val="20"/>
        </w:rPr>
      </w:pPr>
      <w:r w:rsidRPr="0032107A">
        <w:rPr>
          <w:rFonts w:ascii="Arial" w:hAnsi="Arial" w:cs="Times New Roman"/>
          <w:bCs w:val="0"/>
          <w:sz w:val="24"/>
          <w:szCs w:val="20"/>
        </w:rPr>
        <w:t>There are no specific environmental issues associated with this report at this stage.</w:t>
      </w:r>
    </w:p>
    <w:p w14:paraId="7527B3D7" w14:textId="1B9E146E" w:rsidR="00915FD6" w:rsidRPr="000F2599" w:rsidRDefault="00915FD6" w:rsidP="00B36547">
      <w:pPr>
        <w:pStyle w:val="Heading2"/>
        <w:keepNext/>
      </w:pPr>
      <w:r w:rsidRPr="000F2599">
        <w:t>Risk Management Implications</w:t>
      </w:r>
    </w:p>
    <w:p w14:paraId="2FEADD22" w14:textId="101802CA" w:rsidR="00AC28DC" w:rsidRDefault="00AC28DC" w:rsidP="00794823">
      <w:pPr>
        <w:ind w:right="141"/>
        <w:rPr>
          <w:rFonts w:cs="Arial"/>
          <w:szCs w:val="24"/>
          <w:lang w:val="en-US" w:eastAsia="en-GB"/>
        </w:rPr>
      </w:pPr>
    </w:p>
    <w:p w14:paraId="5746F304" w14:textId="77777777" w:rsidR="0032107A" w:rsidRPr="0032107A" w:rsidRDefault="0032107A" w:rsidP="0032107A">
      <w:pPr>
        <w:ind w:left="567" w:right="141" w:hanging="567"/>
        <w:rPr>
          <w:szCs w:val="24"/>
        </w:rPr>
      </w:pPr>
      <w:r w:rsidRPr="0032107A">
        <w:rPr>
          <w:szCs w:val="24"/>
        </w:rPr>
        <w:t>There are none specific to this report.</w:t>
      </w:r>
    </w:p>
    <w:p w14:paraId="57E5CE39" w14:textId="77777777" w:rsidR="0032107A" w:rsidRPr="0032107A" w:rsidRDefault="0032107A" w:rsidP="0032107A">
      <w:pPr>
        <w:ind w:left="567" w:right="141" w:hanging="567"/>
        <w:rPr>
          <w:szCs w:val="24"/>
        </w:rPr>
      </w:pPr>
    </w:p>
    <w:p w14:paraId="0450CD01" w14:textId="77777777" w:rsidR="0032107A" w:rsidRPr="0032107A" w:rsidRDefault="0032107A" w:rsidP="0032107A">
      <w:pPr>
        <w:ind w:left="567" w:right="141" w:hanging="567"/>
        <w:rPr>
          <w:b/>
          <w:bCs/>
          <w:szCs w:val="24"/>
        </w:rPr>
      </w:pPr>
      <w:r w:rsidRPr="0032107A">
        <w:rPr>
          <w:szCs w:val="24"/>
        </w:rPr>
        <w:t xml:space="preserve">Risk included on Directorate risk </w:t>
      </w:r>
      <w:proofErr w:type="gramStart"/>
      <w:r w:rsidRPr="0032107A">
        <w:rPr>
          <w:szCs w:val="24"/>
        </w:rPr>
        <w:t>register?</w:t>
      </w:r>
      <w:proofErr w:type="gramEnd"/>
      <w:r w:rsidRPr="0032107A">
        <w:rPr>
          <w:szCs w:val="24"/>
        </w:rPr>
        <w:t xml:space="preserve"> </w:t>
      </w:r>
      <w:r w:rsidRPr="0032107A">
        <w:rPr>
          <w:b/>
          <w:bCs/>
          <w:szCs w:val="24"/>
        </w:rPr>
        <w:t xml:space="preserve">N/A </w:t>
      </w:r>
    </w:p>
    <w:p w14:paraId="71D8B865" w14:textId="7DDC37AC" w:rsidR="00AC28DC" w:rsidRDefault="0032107A" w:rsidP="0032107A">
      <w:pPr>
        <w:ind w:left="567" w:right="141" w:hanging="567"/>
        <w:rPr>
          <w:rFonts w:cs="Arial"/>
          <w:szCs w:val="24"/>
          <w:lang w:val="en-US" w:eastAsia="en-GB"/>
        </w:rPr>
      </w:pPr>
      <w:r w:rsidRPr="0032107A">
        <w:rPr>
          <w:szCs w:val="24"/>
        </w:rPr>
        <w:t xml:space="preserve">Separate risk register in place? </w:t>
      </w:r>
      <w:r w:rsidRPr="0032107A">
        <w:rPr>
          <w:b/>
          <w:bCs/>
          <w:szCs w:val="24"/>
        </w:rPr>
        <w:t>N/A</w:t>
      </w:r>
    </w:p>
    <w:p w14:paraId="7A04D200" w14:textId="5A7CCEFF" w:rsidR="00B776F3" w:rsidRDefault="00B776F3" w:rsidP="00B776F3">
      <w:pPr>
        <w:pStyle w:val="Heading2"/>
        <w:keepNext/>
      </w:pPr>
      <w:r w:rsidRPr="000F2599">
        <w:t>Equalities implications</w:t>
      </w:r>
    </w:p>
    <w:p w14:paraId="011DE4E8" w14:textId="72E34AB5" w:rsidR="0032107A" w:rsidRDefault="0032107A" w:rsidP="0032107A"/>
    <w:p w14:paraId="14B5E4F7" w14:textId="209AC3CC" w:rsidR="0032107A" w:rsidRPr="0032107A" w:rsidRDefault="0032107A" w:rsidP="0032107A">
      <w:r w:rsidRPr="0032107A">
        <w:t>Equalities implications arising from the Strategic Assessment will be considered in the development of the strategy.</w:t>
      </w:r>
    </w:p>
    <w:p w14:paraId="1B3EA1BC" w14:textId="635BF96E" w:rsidR="00AA1D1C" w:rsidRPr="000F2599" w:rsidRDefault="00777253" w:rsidP="00AA1D1C">
      <w:pPr>
        <w:pStyle w:val="Heading2"/>
      </w:pPr>
      <w:r w:rsidRPr="000F2599">
        <w:t xml:space="preserve">Council </w:t>
      </w:r>
      <w:r w:rsidR="00AA1D1C" w:rsidRPr="000F2599">
        <w:t>Priorities</w:t>
      </w:r>
    </w:p>
    <w:p w14:paraId="6966DE66" w14:textId="77777777" w:rsidR="0032107A" w:rsidRDefault="0032107A" w:rsidP="0032107A">
      <w:pPr>
        <w:autoSpaceDE w:val="0"/>
        <w:autoSpaceDN w:val="0"/>
        <w:contextualSpacing/>
        <w:rPr>
          <w:szCs w:val="24"/>
          <w:lang w:val="en-US"/>
        </w:rPr>
      </w:pPr>
    </w:p>
    <w:p w14:paraId="3EDD2862" w14:textId="7CC9EBC5" w:rsidR="0032107A" w:rsidRPr="0032107A" w:rsidRDefault="0032107A" w:rsidP="0032107A">
      <w:pPr>
        <w:autoSpaceDE w:val="0"/>
        <w:autoSpaceDN w:val="0"/>
        <w:contextualSpacing/>
        <w:rPr>
          <w:szCs w:val="24"/>
          <w:lang w:val="en-US"/>
        </w:rPr>
      </w:pPr>
      <w:r w:rsidRPr="0032107A">
        <w:rPr>
          <w:szCs w:val="24"/>
          <w:lang w:val="en-US"/>
        </w:rPr>
        <w:t>The Council’s vision:</w:t>
      </w:r>
    </w:p>
    <w:p w14:paraId="45631E2E" w14:textId="77777777" w:rsidR="0032107A" w:rsidRPr="0032107A" w:rsidRDefault="0032107A" w:rsidP="0032107A">
      <w:pPr>
        <w:pStyle w:val="ListParagraph"/>
        <w:autoSpaceDE w:val="0"/>
        <w:autoSpaceDN w:val="0"/>
        <w:contextualSpacing/>
        <w:rPr>
          <w:rFonts w:eastAsia="Times New Roman"/>
          <w:color w:val="auto"/>
          <w:sz w:val="24"/>
          <w:szCs w:val="24"/>
          <w:lang w:val="en-US" w:eastAsia="en-US"/>
        </w:rPr>
      </w:pPr>
    </w:p>
    <w:p w14:paraId="068997BE" w14:textId="77777777" w:rsidR="0032107A" w:rsidRPr="0032107A" w:rsidRDefault="0032107A" w:rsidP="0032107A">
      <w:pPr>
        <w:autoSpaceDE w:val="0"/>
        <w:autoSpaceDN w:val="0"/>
        <w:contextualSpacing/>
        <w:rPr>
          <w:b/>
          <w:bCs/>
          <w:szCs w:val="24"/>
          <w:lang w:val="en-US"/>
        </w:rPr>
      </w:pPr>
      <w:r w:rsidRPr="0032107A">
        <w:rPr>
          <w:b/>
          <w:bCs/>
          <w:szCs w:val="24"/>
          <w:lang w:val="en-US"/>
        </w:rPr>
        <w:t>Working Together to Make a Difference for Harrow</w:t>
      </w:r>
    </w:p>
    <w:p w14:paraId="678EFD02" w14:textId="77777777" w:rsidR="0032107A" w:rsidRPr="0032107A" w:rsidRDefault="0032107A" w:rsidP="0032107A">
      <w:pPr>
        <w:pStyle w:val="ListParagraph"/>
        <w:autoSpaceDE w:val="0"/>
        <w:autoSpaceDN w:val="0"/>
        <w:contextualSpacing/>
        <w:rPr>
          <w:rFonts w:eastAsia="Times New Roman"/>
          <w:color w:val="auto"/>
          <w:sz w:val="24"/>
          <w:szCs w:val="24"/>
          <w:lang w:val="en-US" w:eastAsia="en-US"/>
        </w:rPr>
      </w:pPr>
    </w:p>
    <w:p w14:paraId="738B3DDE" w14:textId="42E751CB" w:rsidR="00DC157B" w:rsidRPr="0032107A" w:rsidRDefault="0032107A" w:rsidP="0032107A">
      <w:pPr>
        <w:autoSpaceDE w:val="0"/>
        <w:autoSpaceDN w:val="0"/>
        <w:contextualSpacing/>
        <w:rPr>
          <w:szCs w:val="24"/>
          <w:lang w:val="en-US"/>
        </w:rPr>
      </w:pPr>
      <w:r w:rsidRPr="0032107A">
        <w:rPr>
          <w:szCs w:val="24"/>
          <w:lang w:val="en-US"/>
        </w:rPr>
        <w:t>This Strategy relates to the following corporate priority:</w:t>
      </w:r>
    </w:p>
    <w:p w14:paraId="3F399E5B" w14:textId="207CD916" w:rsidR="0032107A" w:rsidRPr="0032107A" w:rsidRDefault="0032107A" w:rsidP="0032107A">
      <w:pPr>
        <w:autoSpaceDE w:val="0"/>
        <w:autoSpaceDN w:val="0"/>
        <w:contextualSpacing/>
        <w:rPr>
          <w:szCs w:val="24"/>
          <w:lang w:val="en-US"/>
        </w:rPr>
      </w:pPr>
    </w:p>
    <w:p w14:paraId="70A0D42A" w14:textId="1AFD1C99" w:rsidR="0032107A" w:rsidRDefault="0032107A" w:rsidP="0032107A">
      <w:pPr>
        <w:pStyle w:val="ListParagraph"/>
        <w:numPr>
          <w:ilvl w:val="0"/>
          <w:numId w:val="10"/>
        </w:numPr>
        <w:autoSpaceDE w:val="0"/>
        <w:autoSpaceDN w:val="0"/>
        <w:contextualSpacing/>
        <w:rPr>
          <w:sz w:val="24"/>
          <w:szCs w:val="24"/>
          <w:lang w:val="en-US"/>
        </w:rPr>
      </w:pPr>
      <w:r w:rsidRPr="0032107A">
        <w:rPr>
          <w:sz w:val="24"/>
          <w:szCs w:val="24"/>
          <w:lang w:val="en-US"/>
        </w:rPr>
        <w:t>Protect the most vulnerable</w:t>
      </w:r>
    </w:p>
    <w:p w14:paraId="7B3EDDA7" w14:textId="3A20EC9C" w:rsidR="0003271C" w:rsidRDefault="0003271C" w:rsidP="0003271C">
      <w:pPr>
        <w:autoSpaceDE w:val="0"/>
        <w:autoSpaceDN w:val="0"/>
        <w:contextualSpacing/>
        <w:rPr>
          <w:szCs w:val="24"/>
          <w:lang w:val="en-US"/>
        </w:rPr>
      </w:pPr>
    </w:p>
    <w:p w14:paraId="1C21E08F" w14:textId="5AB09727" w:rsidR="0003271C" w:rsidRDefault="0003271C" w:rsidP="0003271C">
      <w:pPr>
        <w:autoSpaceDE w:val="0"/>
        <w:autoSpaceDN w:val="0"/>
        <w:contextualSpacing/>
        <w:rPr>
          <w:szCs w:val="24"/>
          <w:lang w:val="en-US"/>
        </w:rPr>
      </w:pPr>
    </w:p>
    <w:p w14:paraId="43A39EC4" w14:textId="770E98BF" w:rsidR="0003271C" w:rsidRDefault="0003271C" w:rsidP="0003271C">
      <w:pPr>
        <w:autoSpaceDE w:val="0"/>
        <w:autoSpaceDN w:val="0"/>
        <w:contextualSpacing/>
        <w:rPr>
          <w:szCs w:val="24"/>
          <w:lang w:val="en-US"/>
        </w:rPr>
      </w:pPr>
    </w:p>
    <w:p w14:paraId="0606C589" w14:textId="4CD4CCD8" w:rsidR="0003271C" w:rsidRDefault="0003271C" w:rsidP="0003271C">
      <w:pPr>
        <w:autoSpaceDE w:val="0"/>
        <w:autoSpaceDN w:val="0"/>
        <w:contextualSpacing/>
        <w:rPr>
          <w:szCs w:val="24"/>
          <w:lang w:val="en-US"/>
        </w:rPr>
      </w:pPr>
    </w:p>
    <w:p w14:paraId="1AC35D87" w14:textId="53E7BC77" w:rsidR="0003271C" w:rsidRDefault="0003271C" w:rsidP="0003271C">
      <w:pPr>
        <w:autoSpaceDE w:val="0"/>
        <w:autoSpaceDN w:val="0"/>
        <w:contextualSpacing/>
        <w:rPr>
          <w:szCs w:val="24"/>
          <w:lang w:val="en-US"/>
        </w:rPr>
      </w:pPr>
    </w:p>
    <w:p w14:paraId="7C35F273" w14:textId="3CA32215" w:rsidR="0003271C" w:rsidRDefault="0003271C" w:rsidP="0003271C">
      <w:pPr>
        <w:autoSpaceDE w:val="0"/>
        <w:autoSpaceDN w:val="0"/>
        <w:contextualSpacing/>
        <w:rPr>
          <w:szCs w:val="24"/>
          <w:lang w:val="en-US"/>
        </w:rPr>
      </w:pPr>
    </w:p>
    <w:p w14:paraId="595F66A7" w14:textId="3BF20B81" w:rsidR="0003271C" w:rsidRDefault="0003271C" w:rsidP="0003271C">
      <w:pPr>
        <w:autoSpaceDE w:val="0"/>
        <w:autoSpaceDN w:val="0"/>
        <w:contextualSpacing/>
        <w:rPr>
          <w:szCs w:val="24"/>
          <w:lang w:val="en-US"/>
        </w:rPr>
      </w:pPr>
    </w:p>
    <w:p w14:paraId="4FB030D9" w14:textId="354EDEA2" w:rsidR="0003271C" w:rsidRDefault="0003271C" w:rsidP="0003271C">
      <w:pPr>
        <w:autoSpaceDE w:val="0"/>
        <w:autoSpaceDN w:val="0"/>
        <w:contextualSpacing/>
        <w:rPr>
          <w:szCs w:val="24"/>
          <w:lang w:val="en-US"/>
        </w:rPr>
      </w:pPr>
    </w:p>
    <w:p w14:paraId="2DBFB29C" w14:textId="2E33E8A2" w:rsidR="0003271C" w:rsidRDefault="0003271C" w:rsidP="0003271C">
      <w:pPr>
        <w:autoSpaceDE w:val="0"/>
        <w:autoSpaceDN w:val="0"/>
        <w:contextualSpacing/>
        <w:rPr>
          <w:szCs w:val="24"/>
          <w:lang w:val="en-US"/>
        </w:rPr>
      </w:pPr>
    </w:p>
    <w:p w14:paraId="18706027" w14:textId="2A256EB8" w:rsidR="0003271C" w:rsidRDefault="0003271C" w:rsidP="0003271C">
      <w:pPr>
        <w:autoSpaceDE w:val="0"/>
        <w:autoSpaceDN w:val="0"/>
        <w:contextualSpacing/>
        <w:rPr>
          <w:szCs w:val="24"/>
          <w:lang w:val="en-US"/>
        </w:rPr>
      </w:pPr>
    </w:p>
    <w:p w14:paraId="7915454F" w14:textId="77777777" w:rsidR="0003271C" w:rsidRPr="0003271C" w:rsidRDefault="0003271C" w:rsidP="0003271C">
      <w:pPr>
        <w:autoSpaceDE w:val="0"/>
        <w:autoSpaceDN w:val="0"/>
        <w:contextualSpacing/>
        <w:rPr>
          <w:szCs w:val="24"/>
          <w:lang w:val="en-US"/>
        </w:rPr>
      </w:pPr>
    </w:p>
    <w:p w14:paraId="25664FAF" w14:textId="77777777" w:rsidR="0032107A" w:rsidRPr="0032107A" w:rsidRDefault="0032107A" w:rsidP="0032107A">
      <w:pPr>
        <w:autoSpaceDE w:val="0"/>
        <w:autoSpaceDN w:val="0"/>
        <w:contextualSpacing/>
        <w:rPr>
          <w:b/>
          <w:szCs w:val="24"/>
        </w:rPr>
      </w:pPr>
    </w:p>
    <w:p w14:paraId="4694FF5A" w14:textId="77777777" w:rsidR="005441BD" w:rsidRPr="000F2599" w:rsidRDefault="005441BD" w:rsidP="000417A4">
      <w:pPr>
        <w:pStyle w:val="Heading1"/>
        <w:keepNext/>
      </w:pPr>
      <w:r w:rsidRPr="000F2599">
        <w:lastRenderedPageBreak/>
        <w:t>Section 3 - Statutory Officer Clearance</w:t>
      </w:r>
    </w:p>
    <w:p w14:paraId="068547AA" w14:textId="4AC725D2" w:rsidR="00622741" w:rsidRPr="00A66326" w:rsidRDefault="00622741" w:rsidP="00622741">
      <w:pPr>
        <w:spacing w:before="240"/>
        <w:rPr>
          <w:sz w:val="28"/>
        </w:rPr>
      </w:pPr>
      <w:r w:rsidRPr="00A66326">
        <w:rPr>
          <w:b/>
          <w:sz w:val="28"/>
        </w:rPr>
        <w:t xml:space="preserve">Statutory Officer:  </w:t>
      </w:r>
      <w:r w:rsidR="0003271C">
        <w:rPr>
          <w:b/>
          <w:sz w:val="28"/>
        </w:rPr>
        <w:t>Sharon Daniels</w:t>
      </w:r>
    </w:p>
    <w:p w14:paraId="421AF5C3" w14:textId="2E5F6967" w:rsidR="00622741" w:rsidRPr="00A66326" w:rsidRDefault="00622741" w:rsidP="00622741">
      <w:r w:rsidRPr="00A66326">
        <w:t xml:space="preserve">Signed </w:t>
      </w:r>
      <w:r w:rsidR="0003271C">
        <w:t>on behalf of</w:t>
      </w:r>
      <w:r w:rsidRPr="00A66326">
        <w:t xml:space="preserve"> the Chief Financial Officer</w:t>
      </w:r>
    </w:p>
    <w:p w14:paraId="4FF61997" w14:textId="72B894D2" w:rsidR="00622741" w:rsidRPr="00980316" w:rsidRDefault="00622741" w:rsidP="00622741">
      <w:pPr>
        <w:rPr>
          <w:szCs w:val="18"/>
        </w:rPr>
      </w:pPr>
    </w:p>
    <w:p w14:paraId="2F409E15" w14:textId="4913F08F" w:rsidR="00622741" w:rsidRPr="00980316" w:rsidRDefault="00622741" w:rsidP="00622741">
      <w:pPr>
        <w:spacing w:after="480"/>
        <w:rPr>
          <w:szCs w:val="18"/>
        </w:rPr>
      </w:pPr>
      <w:r w:rsidRPr="00980316">
        <w:rPr>
          <w:b/>
          <w:szCs w:val="18"/>
        </w:rPr>
        <w:t xml:space="preserve">Date:  </w:t>
      </w:r>
      <w:r w:rsidR="0008768F" w:rsidRPr="00980316">
        <w:rPr>
          <w:b/>
          <w:szCs w:val="18"/>
        </w:rPr>
        <w:t>0</w:t>
      </w:r>
      <w:r w:rsidR="0003271C">
        <w:rPr>
          <w:b/>
          <w:szCs w:val="18"/>
        </w:rPr>
        <w:t>1/12</w:t>
      </w:r>
      <w:r w:rsidR="0008768F" w:rsidRPr="00980316">
        <w:rPr>
          <w:b/>
          <w:szCs w:val="18"/>
        </w:rPr>
        <w:t>/21</w:t>
      </w:r>
    </w:p>
    <w:p w14:paraId="5CFD5881" w14:textId="0706A4D4" w:rsidR="00622741" w:rsidRPr="00A66326" w:rsidRDefault="00622741" w:rsidP="00622741">
      <w:pPr>
        <w:rPr>
          <w:sz w:val="28"/>
        </w:rPr>
      </w:pPr>
      <w:r w:rsidRPr="00A66326">
        <w:rPr>
          <w:b/>
          <w:sz w:val="28"/>
        </w:rPr>
        <w:t xml:space="preserve">Statutory Officer:  </w:t>
      </w:r>
      <w:r w:rsidR="0003271C">
        <w:rPr>
          <w:b/>
          <w:sz w:val="28"/>
        </w:rPr>
        <w:t>Stephen Dorrian</w:t>
      </w:r>
    </w:p>
    <w:p w14:paraId="7E3934A3" w14:textId="47B27B85" w:rsidR="00622741" w:rsidRDefault="00622741" w:rsidP="00622741">
      <w:r w:rsidRPr="00A66326">
        <w:t xml:space="preserve">Signed </w:t>
      </w:r>
      <w:r w:rsidR="0003271C">
        <w:t>on behalf of</w:t>
      </w:r>
      <w:r w:rsidRPr="00A66326">
        <w:t xml:space="preserve"> the Monitoring Officer</w:t>
      </w:r>
    </w:p>
    <w:p w14:paraId="25BBC3DE" w14:textId="66FBE714" w:rsidR="00622741" w:rsidRPr="00A66326" w:rsidRDefault="00622741" w:rsidP="00622741">
      <w:pPr>
        <w:rPr>
          <w:sz w:val="28"/>
        </w:rPr>
      </w:pPr>
    </w:p>
    <w:p w14:paraId="69C59705" w14:textId="6EC55B46" w:rsidR="00BB296E" w:rsidRPr="0003271C" w:rsidRDefault="00622741" w:rsidP="0003271C">
      <w:pPr>
        <w:spacing w:after="480"/>
        <w:rPr>
          <w:szCs w:val="18"/>
        </w:rPr>
      </w:pPr>
      <w:r w:rsidRPr="00980316">
        <w:rPr>
          <w:b/>
          <w:szCs w:val="18"/>
        </w:rPr>
        <w:t xml:space="preserve">Date: </w:t>
      </w:r>
      <w:r w:rsidR="0008768F" w:rsidRPr="00980316">
        <w:rPr>
          <w:b/>
          <w:szCs w:val="18"/>
        </w:rPr>
        <w:t>0</w:t>
      </w:r>
      <w:r w:rsidR="0003271C">
        <w:rPr>
          <w:b/>
          <w:szCs w:val="18"/>
        </w:rPr>
        <w:t>1/12</w:t>
      </w:r>
      <w:r w:rsidR="0008768F" w:rsidRPr="00980316">
        <w:rPr>
          <w:b/>
          <w:szCs w:val="18"/>
        </w:rPr>
        <w:t>/21</w:t>
      </w:r>
    </w:p>
    <w:p w14:paraId="451D34EE" w14:textId="380D1AB0" w:rsidR="00622741" w:rsidRPr="00435B5D" w:rsidRDefault="00622741" w:rsidP="00622741">
      <w:pPr>
        <w:pStyle w:val="Heading2"/>
        <w:spacing w:after="240"/>
      </w:pPr>
      <w:r>
        <w:t>Mandatory Checks</w:t>
      </w:r>
    </w:p>
    <w:p w14:paraId="0C846B27" w14:textId="43C658BA" w:rsidR="00622741" w:rsidRPr="00A406F3" w:rsidRDefault="00622741" w:rsidP="00622741">
      <w:pPr>
        <w:pStyle w:val="Heading3"/>
      </w:pPr>
      <w:r>
        <w:t>Ward Councillors notified:</w:t>
      </w:r>
      <w:r w:rsidR="0008768F">
        <w:t xml:space="preserve"> </w:t>
      </w:r>
      <w:r w:rsidR="0003271C">
        <w:t>N/A – affects all wards.</w:t>
      </w:r>
    </w:p>
    <w:p w14:paraId="1BB2022E" w14:textId="77777777" w:rsidR="00622741" w:rsidRDefault="00622741" w:rsidP="00622741">
      <w:pPr>
        <w:pStyle w:val="Heading2"/>
        <w:keepNext/>
        <w:spacing w:after="240"/>
      </w:pPr>
      <w:r>
        <w:t>Section 4 - Contact Details and Background Papers</w:t>
      </w:r>
    </w:p>
    <w:p w14:paraId="35096C3E" w14:textId="69911697" w:rsidR="0003271C" w:rsidRDefault="00622741" w:rsidP="0003271C">
      <w:pPr>
        <w:pStyle w:val="Infotext"/>
        <w:rPr>
          <w:rFonts w:cs="Arial"/>
          <w:sz w:val="24"/>
        </w:rPr>
      </w:pPr>
      <w:r w:rsidRPr="00D914D2">
        <w:rPr>
          <w:b/>
        </w:rPr>
        <w:t>Contact:</w:t>
      </w:r>
      <w:r>
        <w:t xml:space="preserve"> </w:t>
      </w:r>
      <w:r w:rsidR="0003271C">
        <w:tab/>
      </w:r>
      <w:r w:rsidR="0003271C" w:rsidRPr="0003271C">
        <w:rPr>
          <w:rFonts w:cs="Arial"/>
          <w:sz w:val="24"/>
        </w:rPr>
        <w:t xml:space="preserve">David Harrington, Head of Business Intelligence </w:t>
      </w:r>
    </w:p>
    <w:p w14:paraId="44654CD0" w14:textId="7E1C9DB5" w:rsidR="0003271C" w:rsidRDefault="0003271C" w:rsidP="0003271C">
      <w:pPr>
        <w:pStyle w:val="Infotext"/>
        <w:ind w:left="720" w:firstLine="720"/>
        <w:rPr>
          <w:rFonts w:cs="Arial"/>
          <w:sz w:val="24"/>
        </w:rPr>
      </w:pPr>
      <w:r w:rsidRPr="0003271C">
        <w:rPr>
          <w:rFonts w:cs="Arial"/>
          <w:sz w:val="24"/>
        </w:rPr>
        <w:t>Tel. 020 8420 9248</w:t>
      </w:r>
    </w:p>
    <w:p w14:paraId="2ADB1673" w14:textId="77777777" w:rsidR="0003271C" w:rsidRDefault="0003271C" w:rsidP="0003271C">
      <w:pPr>
        <w:pStyle w:val="Infotext"/>
        <w:rPr>
          <w:rFonts w:cs="Arial"/>
          <w:sz w:val="24"/>
        </w:rPr>
      </w:pPr>
    </w:p>
    <w:p w14:paraId="02646896" w14:textId="7F0D82F1" w:rsidR="00622741" w:rsidRDefault="00622741" w:rsidP="0003271C">
      <w:pPr>
        <w:pStyle w:val="Infotext"/>
      </w:pPr>
      <w:r w:rsidRPr="00D914D2">
        <w:rPr>
          <w:b/>
        </w:rPr>
        <w:t>Background Papers</w:t>
      </w:r>
      <w:r>
        <w:t>:</w:t>
      </w:r>
    </w:p>
    <w:p w14:paraId="76CF0350" w14:textId="0237328B" w:rsidR="006872C8" w:rsidRPr="00232E4D" w:rsidRDefault="00FA4E99" w:rsidP="0003271C">
      <w:pPr>
        <w:pStyle w:val="Infotext"/>
        <w:spacing w:before="360"/>
        <w:rPr>
          <w:sz w:val="24"/>
          <w:szCs w:val="24"/>
        </w:rPr>
      </w:pPr>
      <w:r w:rsidRPr="00232E4D">
        <w:rPr>
          <w:sz w:val="24"/>
          <w:szCs w:val="24"/>
        </w:rPr>
        <w:t xml:space="preserve">Appendix A – </w:t>
      </w:r>
      <w:r w:rsidR="0003271C" w:rsidRPr="0003271C">
        <w:rPr>
          <w:sz w:val="24"/>
          <w:szCs w:val="24"/>
        </w:rPr>
        <w:t>Annual Strategic Assessment 2021</w:t>
      </w:r>
    </w:p>
    <w:p w14:paraId="37168A93" w14:textId="77777777" w:rsidR="006872C8" w:rsidRPr="00232E4D" w:rsidRDefault="006872C8" w:rsidP="00FA4E99">
      <w:pPr>
        <w:pStyle w:val="Infotext"/>
        <w:spacing w:before="360"/>
        <w:rPr>
          <w:sz w:val="24"/>
          <w:szCs w:val="24"/>
        </w:rPr>
      </w:pPr>
    </w:p>
    <w:sectPr w:rsidR="006872C8" w:rsidRPr="00232E4D" w:rsidSect="00EA4A7E">
      <w:pgSz w:w="11909" w:h="16834" w:code="9"/>
      <w:pgMar w:top="28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1F0C" w14:textId="77777777" w:rsidR="005302C8" w:rsidRDefault="005302C8">
      <w:r>
        <w:separator/>
      </w:r>
    </w:p>
  </w:endnote>
  <w:endnote w:type="continuationSeparator" w:id="0">
    <w:p w14:paraId="41140665" w14:textId="77777777" w:rsidR="005302C8" w:rsidRDefault="005302C8">
      <w:r>
        <w:continuationSeparator/>
      </w:r>
    </w:p>
  </w:endnote>
  <w:endnote w:type="continuationNotice" w:id="1">
    <w:p w14:paraId="7616FDDF" w14:textId="77777777" w:rsidR="00CB0EA4" w:rsidRDefault="00CB0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9CD6" w14:textId="77777777" w:rsidR="005302C8" w:rsidRDefault="005302C8">
      <w:r>
        <w:separator/>
      </w:r>
    </w:p>
  </w:footnote>
  <w:footnote w:type="continuationSeparator" w:id="0">
    <w:p w14:paraId="090C92E9" w14:textId="77777777" w:rsidR="005302C8" w:rsidRDefault="005302C8">
      <w:r>
        <w:continuationSeparator/>
      </w:r>
    </w:p>
  </w:footnote>
  <w:footnote w:type="continuationNotice" w:id="1">
    <w:p w14:paraId="5DA2BD1F" w14:textId="77777777" w:rsidR="00CB0EA4" w:rsidRDefault="00CB0E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36DA"/>
    <w:multiLevelType w:val="hybridMultilevel"/>
    <w:tmpl w:val="2CFC3A7C"/>
    <w:lvl w:ilvl="0" w:tplc="56FA2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F588E"/>
    <w:multiLevelType w:val="hybridMultilevel"/>
    <w:tmpl w:val="38C085F8"/>
    <w:lvl w:ilvl="0" w:tplc="43964F36">
      <w:start w:val="1"/>
      <w:numFmt w:val="lowerLetter"/>
      <w:lvlText w:val="(%1)"/>
      <w:lvlJc w:val="left"/>
      <w:pPr>
        <w:ind w:left="1250" w:hanging="8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05B4D"/>
    <w:multiLevelType w:val="hybridMultilevel"/>
    <w:tmpl w:val="CE2E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A7806"/>
    <w:multiLevelType w:val="hybridMultilevel"/>
    <w:tmpl w:val="86EEF1C2"/>
    <w:lvl w:ilvl="0" w:tplc="56FA2674">
      <w:start w:val="1"/>
      <w:numFmt w:val="lowerLetter"/>
      <w:lvlText w:val="(%1)"/>
      <w:lvlJc w:val="left"/>
      <w:pPr>
        <w:ind w:left="435" w:hanging="367"/>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5" w15:restartNumberingAfterBreak="0">
    <w:nsid w:val="32C14FAA"/>
    <w:multiLevelType w:val="hybridMultilevel"/>
    <w:tmpl w:val="00EE1162"/>
    <w:lvl w:ilvl="0" w:tplc="518AA9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A1627"/>
    <w:multiLevelType w:val="hybridMultilevel"/>
    <w:tmpl w:val="09B0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67565"/>
    <w:multiLevelType w:val="hybridMultilevel"/>
    <w:tmpl w:val="DBA61E36"/>
    <w:lvl w:ilvl="0" w:tplc="43964F36">
      <w:start w:val="1"/>
      <w:numFmt w:val="lowerLetter"/>
      <w:lvlText w:val="(%1)"/>
      <w:lvlJc w:val="left"/>
      <w:pPr>
        <w:ind w:left="1250" w:hanging="8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66755"/>
    <w:multiLevelType w:val="hybridMultilevel"/>
    <w:tmpl w:val="F7C4C772"/>
    <w:lvl w:ilvl="0" w:tplc="56FA2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974194"/>
    <w:multiLevelType w:val="hybridMultilevel"/>
    <w:tmpl w:val="E91445AC"/>
    <w:lvl w:ilvl="0" w:tplc="11C89E9A">
      <w:start w:val="1"/>
      <w:numFmt w:val="bullet"/>
      <w:lvlText w:val=""/>
      <w:lvlJc w:val="left"/>
      <w:pPr>
        <w:ind w:left="895" w:hanging="360"/>
      </w:pPr>
      <w:rPr>
        <w:rFonts w:ascii="Symbol" w:hAnsi="Symbol" w:hint="default"/>
        <w:color w:val="auto"/>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0" w15:restartNumberingAfterBreak="0">
    <w:nsid w:val="72A50011"/>
    <w:multiLevelType w:val="hybridMultilevel"/>
    <w:tmpl w:val="6F5C810C"/>
    <w:lvl w:ilvl="0" w:tplc="43964F36">
      <w:start w:val="1"/>
      <w:numFmt w:val="lowerLetter"/>
      <w:lvlText w:val="(%1)"/>
      <w:lvlJc w:val="left"/>
      <w:pPr>
        <w:ind w:left="1250" w:hanging="8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C07748"/>
    <w:multiLevelType w:val="hybridMultilevel"/>
    <w:tmpl w:val="C968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450FF"/>
    <w:multiLevelType w:val="hybridMultilevel"/>
    <w:tmpl w:val="671C31C0"/>
    <w:lvl w:ilvl="0" w:tplc="71F09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82CEA"/>
    <w:multiLevelType w:val="hybridMultilevel"/>
    <w:tmpl w:val="9358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11"/>
  </w:num>
  <w:num w:numId="5">
    <w:abstractNumId w:val="4"/>
  </w:num>
  <w:num w:numId="6">
    <w:abstractNumId w:val="9"/>
  </w:num>
  <w:num w:numId="7">
    <w:abstractNumId w:val="0"/>
  </w:num>
  <w:num w:numId="8">
    <w:abstractNumId w:val="8"/>
  </w:num>
  <w:num w:numId="9">
    <w:abstractNumId w:val="2"/>
  </w:num>
  <w:num w:numId="10">
    <w:abstractNumId w:val="6"/>
  </w:num>
  <w:num w:numId="11">
    <w:abstractNumId w:val="7"/>
  </w:num>
  <w:num w:numId="12">
    <w:abstractNumId w:val="10"/>
  </w:num>
  <w:num w:numId="13">
    <w:abstractNumId w:val="5"/>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06816"/>
    <w:rsid w:val="00014476"/>
    <w:rsid w:val="00022C92"/>
    <w:rsid w:val="0002493D"/>
    <w:rsid w:val="00025E49"/>
    <w:rsid w:val="00030A66"/>
    <w:rsid w:val="0003271C"/>
    <w:rsid w:val="00036698"/>
    <w:rsid w:val="000417A4"/>
    <w:rsid w:val="00044EA3"/>
    <w:rsid w:val="00046328"/>
    <w:rsid w:val="00046D35"/>
    <w:rsid w:val="00053707"/>
    <w:rsid w:val="00054379"/>
    <w:rsid w:val="00070B33"/>
    <w:rsid w:val="00075CBB"/>
    <w:rsid w:val="0008003C"/>
    <w:rsid w:val="0008768F"/>
    <w:rsid w:val="000A10D8"/>
    <w:rsid w:val="000A33E4"/>
    <w:rsid w:val="000B74AD"/>
    <w:rsid w:val="000B7911"/>
    <w:rsid w:val="000D43D2"/>
    <w:rsid w:val="000D4D39"/>
    <w:rsid w:val="000D594C"/>
    <w:rsid w:val="000D59D7"/>
    <w:rsid w:val="000E5348"/>
    <w:rsid w:val="000F2599"/>
    <w:rsid w:val="000F5FF4"/>
    <w:rsid w:val="000F665E"/>
    <w:rsid w:val="000F6A6C"/>
    <w:rsid w:val="00103234"/>
    <w:rsid w:val="00103315"/>
    <w:rsid w:val="001071C4"/>
    <w:rsid w:val="001120D6"/>
    <w:rsid w:val="00112F93"/>
    <w:rsid w:val="001226DB"/>
    <w:rsid w:val="00131D9D"/>
    <w:rsid w:val="00141F91"/>
    <w:rsid w:val="0014753A"/>
    <w:rsid w:val="0015070B"/>
    <w:rsid w:val="00156C33"/>
    <w:rsid w:val="00157787"/>
    <w:rsid w:val="0016407F"/>
    <w:rsid w:val="00166825"/>
    <w:rsid w:val="0016746B"/>
    <w:rsid w:val="00170541"/>
    <w:rsid w:val="00177208"/>
    <w:rsid w:val="00183ADE"/>
    <w:rsid w:val="00195EF5"/>
    <w:rsid w:val="00197C24"/>
    <w:rsid w:val="00197FF6"/>
    <w:rsid w:val="001A6BFF"/>
    <w:rsid w:val="001B0F24"/>
    <w:rsid w:val="001B1515"/>
    <w:rsid w:val="001B258B"/>
    <w:rsid w:val="001B2EDD"/>
    <w:rsid w:val="001B34D7"/>
    <w:rsid w:val="001B3AE2"/>
    <w:rsid w:val="001B6DC3"/>
    <w:rsid w:val="001B7852"/>
    <w:rsid w:val="001C1569"/>
    <w:rsid w:val="001C2940"/>
    <w:rsid w:val="001C32A4"/>
    <w:rsid w:val="001C6878"/>
    <w:rsid w:val="001D44C3"/>
    <w:rsid w:val="001E153E"/>
    <w:rsid w:val="001E282E"/>
    <w:rsid w:val="001E6E71"/>
    <w:rsid w:val="00205B6C"/>
    <w:rsid w:val="00210FC3"/>
    <w:rsid w:val="0021111E"/>
    <w:rsid w:val="00213343"/>
    <w:rsid w:val="00232E4D"/>
    <w:rsid w:val="00234AB7"/>
    <w:rsid w:val="00240D44"/>
    <w:rsid w:val="0025025A"/>
    <w:rsid w:val="00251204"/>
    <w:rsid w:val="00252255"/>
    <w:rsid w:val="002610FE"/>
    <w:rsid w:val="00262641"/>
    <w:rsid w:val="00267B48"/>
    <w:rsid w:val="00275FE6"/>
    <w:rsid w:val="00277B96"/>
    <w:rsid w:val="00280DD7"/>
    <w:rsid w:val="00295B66"/>
    <w:rsid w:val="002A143E"/>
    <w:rsid w:val="002B7F80"/>
    <w:rsid w:val="002C6464"/>
    <w:rsid w:val="002D077C"/>
    <w:rsid w:val="002D35ED"/>
    <w:rsid w:val="002D45D5"/>
    <w:rsid w:val="002D616C"/>
    <w:rsid w:val="002D6409"/>
    <w:rsid w:val="002E7B8B"/>
    <w:rsid w:val="002F245E"/>
    <w:rsid w:val="002F4990"/>
    <w:rsid w:val="00305F87"/>
    <w:rsid w:val="00313F3C"/>
    <w:rsid w:val="0032107A"/>
    <w:rsid w:val="00324A8E"/>
    <w:rsid w:val="003256AF"/>
    <w:rsid w:val="00340D10"/>
    <w:rsid w:val="003410E8"/>
    <w:rsid w:val="003563E4"/>
    <w:rsid w:val="00357B0C"/>
    <w:rsid w:val="00360AD3"/>
    <w:rsid w:val="003657B3"/>
    <w:rsid w:val="00365ECB"/>
    <w:rsid w:val="003717A5"/>
    <w:rsid w:val="003739BF"/>
    <w:rsid w:val="0037540E"/>
    <w:rsid w:val="00377AA1"/>
    <w:rsid w:val="00381671"/>
    <w:rsid w:val="00382021"/>
    <w:rsid w:val="00387F80"/>
    <w:rsid w:val="00396835"/>
    <w:rsid w:val="003A2F0B"/>
    <w:rsid w:val="003A31D4"/>
    <w:rsid w:val="003D0D09"/>
    <w:rsid w:val="003D6FC6"/>
    <w:rsid w:val="003E1889"/>
    <w:rsid w:val="003E43AE"/>
    <w:rsid w:val="003F3CA2"/>
    <w:rsid w:val="003F4576"/>
    <w:rsid w:val="0040268E"/>
    <w:rsid w:val="00403A53"/>
    <w:rsid w:val="00413EE2"/>
    <w:rsid w:val="00423CF8"/>
    <w:rsid w:val="00425B19"/>
    <w:rsid w:val="00431C38"/>
    <w:rsid w:val="00443806"/>
    <w:rsid w:val="0045020C"/>
    <w:rsid w:val="00452CF8"/>
    <w:rsid w:val="00454BB8"/>
    <w:rsid w:val="00463641"/>
    <w:rsid w:val="00463905"/>
    <w:rsid w:val="00466211"/>
    <w:rsid w:val="00473EDE"/>
    <w:rsid w:val="00475C38"/>
    <w:rsid w:val="004768A1"/>
    <w:rsid w:val="004770A8"/>
    <w:rsid w:val="00480D23"/>
    <w:rsid w:val="00482882"/>
    <w:rsid w:val="004843F1"/>
    <w:rsid w:val="00487A5A"/>
    <w:rsid w:val="0049070E"/>
    <w:rsid w:val="004A659A"/>
    <w:rsid w:val="004B15A9"/>
    <w:rsid w:val="004D0F12"/>
    <w:rsid w:val="004D2563"/>
    <w:rsid w:val="004D7310"/>
    <w:rsid w:val="004E104D"/>
    <w:rsid w:val="004F14CD"/>
    <w:rsid w:val="004F1BCA"/>
    <w:rsid w:val="00500D22"/>
    <w:rsid w:val="00507725"/>
    <w:rsid w:val="005149F4"/>
    <w:rsid w:val="005200DF"/>
    <w:rsid w:val="005234EC"/>
    <w:rsid w:val="00527689"/>
    <w:rsid w:val="005302C8"/>
    <w:rsid w:val="005314E8"/>
    <w:rsid w:val="005322CC"/>
    <w:rsid w:val="005441BD"/>
    <w:rsid w:val="00557455"/>
    <w:rsid w:val="005732BB"/>
    <w:rsid w:val="00581032"/>
    <w:rsid w:val="00582FAD"/>
    <w:rsid w:val="00587227"/>
    <w:rsid w:val="005961BE"/>
    <w:rsid w:val="00596C1F"/>
    <w:rsid w:val="005A0494"/>
    <w:rsid w:val="005B7BD1"/>
    <w:rsid w:val="005C49A2"/>
    <w:rsid w:val="005D374F"/>
    <w:rsid w:val="005D3881"/>
    <w:rsid w:val="005D4BA2"/>
    <w:rsid w:val="005D4C63"/>
    <w:rsid w:val="005F6AD1"/>
    <w:rsid w:val="005F6B97"/>
    <w:rsid w:val="006003F7"/>
    <w:rsid w:val="006037D9"/>
    <w:rsid w:val="00603B16"/>
    <w:rsid w:val="00605E83"/>
    <w:rsid w:val="00612A64"/>
    <w:rsid w:val="006165C2"/>
    <w:rsid w:val="00617F63"/>
    <w:rsid w:val="00622741"/>
    <w:rsid w:val="0062396B"/>
    <w:rsid w:val="00626847"/>
    <w:rsid w:val="006377D6"/>
    <w:rsid w:val="00637C12"/>
    <w:rsid w:val="006416A7"/>
    <w:rsid w:val="0064559E"/>
    <w:rsid w:val="00646696"/>
    <w:rsid w:val="0065183B"/>
    <w:rsid w:val="006571C5"/>
    <w:rsid w:val="006639AA"/>
    <w:rsid w:val="006872C8"/>
    <w:rsid w:val="00693991"/>
    <w:rsid w:val="006A2B66"/>
    <w:rsid w:val="006B19C7"/>
    <w:rsid w:val="006B5F35"/>
    <w:rsid w:val="006C58B1"/>
    <w:rsid w:val="006D1D5A"/>
    <w:rsid w:val="006D7C86"/>
    <w:rsid w:val="006E515F"/>
    <w:rsid w:val="006E5590"/>
    <w:rsid w:val="006F0297"/>
    <w:rsid w:val="00713DA0"/>
    <w:rsid w:val="007217F4"/>
    <w:rsid w:val="00726F9C"/>
    <w:rsid w:val="007443AE"/>
    <w:rsid w:val="007444BF"/>
    <w:rsid w:val="0075103F"/>
    <w:rsid w:val="00777253"/>
    <w:rsid w:val="00780A65"/>
    <w:rsid w:val="00783542"/>
    <w:rsid w:val="00785FFB"/>
    <w:rsid w:val="007871F1"/>
    <w:rsid w:val="00794823"/>
    <w:rsid w:val="007A0E23"/>
    <w:rsid w:val="007A399F"/>
    <w:rsid w:val="007B5427"/>
    <w:rsid w:val="007B7CB9"/>
    <w:rsid w:val="007E08CE"/>
    <w:rsid w:val="007E1F7A"/>
    <w:rsid w:val="007E3DD5"/>
    <w:rsid w:val="007E64D1"/>
    <w:rsid w:val="007F3D82"/>
    <w:rsid w:val="008002EE"/>
    <w:rsid w:val="00803F6D"/>
    <w:rsid w:val="00804E90"/>
    <w:rsid w:val="00812664"/>
    <w:rsid w:val="00820877"/>
    <w:rsid w:val="00821922"/>
    <w:rsid w:val="008225DC"/>
    <w:rsid w:val="00823899"/>
    <w:rsid w:val="0082593A"/>
    <w:rsid w:val="00847AC9"/>
    <w:rsid w:val="008704E6"/>
    <w:rsid w:val="00881FBE"/>
    <w:rsid w:val="00882D67"/>
    <w:rsid w:val="00891CE6"/>
    <w:rsid w:val="008951A2"/>
    <w:rsid w:val="008A0051"/>
    <w:rsid w:val="008C00C6"/>
    <w:rsid w:val="008C4DFC"/>
    <w:rsid w:val="008D143F"/>
    <w:rsid w:val="008D26F2"/>
    <w:rsid w:val="008F1A15"/>
    <w:rsid w:val="008F4A88"/>
    <w:rsid w:val="0090001F"/>
    <w:rsid w:val="00900324"/>
    <w:rsid w:val="00907D52"/>
    <w:rsid w:val="00915FD6"/>
    <w:rsid w:val="00930C42"/>
    <w:rsid w:val="009366AD"/>
    <w:rsid w:val="00937DB5"/>
    <w:rsid w:val="009653D9"/>
    <w:rsid w:val="00973739"/>
    <w:rsid w:val="009761ED"/>
    <w:rsid w:val="00980316"/>
    <w:rsid w:val="00992464"/>
    <w:rsid w:val="00997462"/>
    <w:rsid w:val="00997D31"/>
    <w:rsid w:val="009A6107"/>
    <w:rsid w:val="009B2B2B"/>
    <w:rsid w:val="009B34F6"/>
    <w:rsid w:val="009B49FE"/>
    <w:rsid w:val="009B59A3"/>
    <w:rsid w:val="009C77D4"/>
    <w:rsid w:val="009D1916"/>
    <w:rsid w:val="009E3E4A"/>
    <w:rsid w:val="009F07A9"/>
    <w:rsid w:val="009F7E5A"/>
    <w:rsid w:val="00A0611F"/>
    <w:rsid w:val="00A063C8"/>
    <w:rsid w:val="00A1569A"/>
    <w:rsid w:val="00A1579E"/>
    <w:rsid w:val="00A23C39"/>
    <w:rsid w:val="00A24E62"/>
    <w:rsid w:val="00A3050F"/>
    <w:rsid w:val="00A30842"/>
    <w:rsid w:val="00A345AD"/>
    <w:rsid w:val="00A35DF5"/>
    <w:rsid w:val="00A534F5"/>
    <w:rsid w:val="00A63868"/>
    <w:rsid w:val="00A656CF"/>
    <w:rsid w:val="00A70E91"/>
    <w:rsid w:val="00A77116"/>
    <w:rsid w:val="00A80F10"/>
    <w:rsid w:val="00A91991"/>
    <w:rsid w:val="00A94BF2"/>
    <w:rsid w:val="00A97208"/>
    <w:rsid w:val="00AA1879"/>
    <w:rsid w:val="00AA1D1C"/>
    <w:rsid w:val="00AA4096"/>
    <w:rsid w:val="00AB6E5B"/>
    <w:rsid w:val="00AC28DC"/>
    <w:rsid w:val="00AC349F"/>
    <w:rsid w:val="00AD63C8"/>
    <w:rsid w:val="00AE0C43"/>
    <w:rsid w:val="00AE1629"/>
    <w:rsid w:val="00AE3202"/>
    <w:rsid w:val="00AE46F3"/>
    <w:rsid w:val="00B0162A"/>
    <w:rsid w:val="00B05C5F"/>
    <w:rsid w:val="00B10FDB"/>
    <w:rsid w:val="00B17299"/>
    <w:rsid w:val="00B17B76"/>
    <w:rsid w:val="00B25AF8"/>
    <w:rsid w:val="00B36547"/>
    <w:rsid w:val="00B365F3"/>
    <w:rsid w:val="00B404C6"/>
    <w:rsid w:val="00B44571"/>
    <w:rsid w:val="00B45C80"/>
    <w:rsid w:val="00B46301"/>
    <w:rsid w:val="00B50D94"/>
    <w:rsid w:val="00B57CB3"/>
    <w:rsid w:val="00B75672"/>
    <w:rsid w:val="00B764AC"/>
    <w:rsid w:val="00B776F3"/>
    <w:rsid w:val="00B806A2"/>
    <w:rsid w:val="00B83D00"/>
    <w:rsid w:val="00B912B1"/>
    <w:rsid w:val="00B97261"/>
    <w:rsid w:val="00BA1964"/>
    <w:rsid w:val="00BA7BBA"/>
    <w:rsid w:val="00BB296E"/>
    <w:rsid w:val="00BB6977"/>
    <w:rsid w:val="00BC27C4"/>
    <w:rsid w:val="00BD0B97"/>
    <w:rsid w:val="00BD6F2D"/>
    <w:rsid w:val="00BE2625"/>
    <w:rsid w:val="00BE33FC"/>
    <w:rsid w:val="00C00081"/>
    <w:rsid w:val="00C05A2C"/>
    <w:rsid w:val="00C236B6"/>
    <w:rsid w:val="00C30014"/>
    <w:rsid w:val="00C316E9"/>
    <w:rsid w:val="00C37118"/>
    <w:rsid w:val="00C435F1"/>
    <w:rsid w:val="00C44BAB"/>
    <w:rsid w:val="00C56F55"/>
    <w:rsid w:val="00C60F3A"/>
    <w:rsid w:val="00C647A2"/>
    <w:rsid w:val="00C817CB"/>
    <w:rsid w:val="00C928FC"/>
    <w:rsid w:val="00CA1FE0"/>
    <w:rsid w:val="00CA6857"/>
    <w:rsid w:val="00CB0EA4"/>
    <w:rsid w:val="00CB1A0B"/>
    <w:rsid w:val="00CB1D06"/>
    <w:rsid w:val="00CC1569"/>
    <w:rsid w:val="00CC2E90"/>
    <w:rsid w:val="00CC306F"/>
    <w:rsid w:val="00CD6196"/>
    <w:rsid w:val="00D04F7F"/>
    <w:rsid w:val="00D107B2"/>
    <w:rsid w:val="00D16E14"/>
    <w:rsid w:val="00D203F5"/>
    <w:rsid w:val="00D310D2"/>
    <w:rsid w:val="00D3615F"/>
    <w:rsid w:val="00D37AAB"/>
    <w:rsid w:val="00D4068D"/>
    <w:rsid w:val="00D450A0"/>
    <w:rsid w:val="00D47155"/>
    <w:rsid w:val="00D528C7"/>
    <w:rsid w:val="00D54442"/>
    <w:rsid w:val="00D64AF8"/>
    <w:rsid w:val="00D83F92"/>
    <w:rsid w:val="00D86C2E"/>
    <w:rsid w:val="00D96776"/>
    <w:rsid w:val="00DA08C1"/>
    <w:rsid w:val="00DA38BD"/>
    <w:rsid w:val="00DB15E7"/>
    <w:rsid w:val="00DB464E"/>
    <w:rsid w:val="00DC157B"/>
    <w:rsid w:val="00DD4426"/>
    <w:rsid w:val="00DD4FA0"/>
    <w:rsid w:val="00DD5D02"/>
    <w:rsid w:val="00DE0604"/>
    <w:rsid w:val="00DE6621"/>
    <w:rsid w:val="00DE6CC7"/>
    <w:rsid w:val="00DF450B"/>
    <w:rsid w:val="00E0286D"/>
    <w:rsid w:val="00E03E63"/>
    <w:rsid w:val="00E0775D"/>
    <w:rsid w:val="00E117A6"/>
    <w:rsid w:val="00E1193A"/>
    <w:rsid w:val="00E14343"/>
    <w:rsid w:val="00E33814"/>
    <w:rsid w:val="00E4130E"/>
    <w:rsid w:val="00E446E9"/>
    <w:rsid w:val="00E47518"/>
    <w:rsid w:val="00E54CA4"/>
    <w:rsid w:val="00E55314"/>
    <w:rsid w:val="00E56BA8"/>
    <w:rsid w:val="00E57809"/>
    <w:rsid w:val="00E6678A"/>
    <w:rsid w:val="00E718D5"/>
    <w:rsid w:val="00E7240B"/>
    <w:rsid w:val="00E74478"/>
    <w:rsid w:val="00E86AEA"/>
    <w:rsid w:val="00E91983"/>
    <w:rsid w:val="00E96456"/>
    <w:rsid w:val="00EA4A7E"/>
    <w:rsid w:val="00EC6AF3"/>
    <w:rsid w:val="00EC7F13"/>
    <w:rsid w:val="00EE1F9E"/>
    <w:rsid w:val="00EF0E4C"/>
    <w:rsid w:val="00F037DB"/>
    <w:rsid w:val="00F043EC"/>
    <w:rsid w:val="00F1064F"/>
    <w:rsid w:val="00F12C0A"/>
    <w:rsid w:val="00F20E20"/>
    <w:rsid w:val="00F3D728"/>
    <w:rsid w:val="00F45ADF"/>
    <w:rsid w:val="00F53F10"/>
    <w:rsid w:val="00F62A27"/>
    <w:rsid w:val="00F63742"/>
    <w:rsid w:val="00F65A56"/>
    <w:rsid w:val="00F668CC"/>
    <w:rsid w:val="00F92A09"/>
    <w:rsid w:val="00FA2636"/>
    <w:rsid w:val="00FA4E99"/>
    <w:rsid w:val="00FA72C1"/>
    <w:rsid w:val="00FB23F5"/>
    <w:rsid w:val="00FB6557"/>
    <w:rsid w:val="00FC2AC3"/>
    <w:rsid w:val="00FC6A23"/>
    <w:rsid w:val="00FD21C6"/>
    <w:rsid w:val="00FD711F"/>
    <w:rsid w:val="00FD7778"/>
    <w:rsid w:val="00FE2EEB"/>
    <w:rsid w:val="00FE2F05"/>
    <w:rsid w:val="00FF42DA"/>
    <w:rsid w:val="01004FA3"/>
    <w:rsid w:val="014FBBDF"/>
    <w:rsid w:val="027C705D"/>
    <w:rsid w:val="037131DB"/>
    <w:rsid w:val="0480B829"/>
    <w:rsid w:val="051E0BED"/>
    <w:rsid w:val="0583EF8B"/>
    <w:rsid w:val="06D242F2"/>
    <w:rsid w:val="075DC66F"/>
    <w:rsid w:val="0788DD6C"/>
    <w:rsid w:val="07FBE13F"/>
    <w:rsid w:val="096323E4"/>
    <w:rsid w:val="09796C19"/>
    <w:rsid w:val="09D4384C"/>
    <w:rsid w:val="09FA33E4"/>
    <w:rsid w:val="0A500B9B"/>
    <w:rsid w:val="0ABD39B4"/>
    <w:rsid w:val="0CEA589C"/>
    <w:rsid w:val="0DDA82C6"/>
    <w:rsid w:val="0F5C5842"/>
    <w:rsid w:val="0FBDA954"/>
    <w:rsid w:val="0FE97AFD"/>
    <w:rsid w:val="0FEF3962"/>
    <w:rsid w:val="112E41A0"/>
    <w:rsid w:val="11C2A127"/>
    <w:rsid w:val="124E6A9D"/>
    <w:rsid w:val="13081884"/>
    <w:rsid w:val="133EB3CF"/>
    <w:rsid w:val="135E7188"/>
    <w:rsid w:val="13E7DE19"/>
    <w:rsid w:val="14D9973C"/>
    <w:rsid w:val="155CFE29"/>
    <w:rsid w:val="169712C6"/>
    <w:rsid w:val="16C1C436"/>
    <w:rsid w:val="16FD9512"/>
    <w:rsid w:val="1A3DC46F"/>
    <w:rsid w:val="1B8DAD75"/>
    <w:rsid w:val="1BE203A3"/>
    <w:rsid w:val="1C9CC2D9"/>
    <w:rsid w:val="1D111FC2"/>
    <w:rsid w:val="1DBCEBD6"/>
    <w:rsid w:val="1DD4E543"/>
    <w:rsid w:val="1EE74784"/>
    <w:rsid w:val="1EEABBA0"/>
    <w:rsid w:val="1FEFD025"/>
    <w:rsid w:val="20729E62"/>
    <w:rsid w:val="2168AC18"/>
    <w:rsid w:val="217195BD"/>
    <w:rsid w:val="21A2B3DC"/>
    <w:rsid w:val="22148E57"/>
    <w:rsid w:val="2306E4F1"/>
    <w:rsid w:val="24E82C82"/>
    <w:rsid w:val="257E0F99"/>
    <w:rsid w:val="258000BB"/>
    <w:rsid w:val="25F8F74C"/>
    <w:rsid w:val="268201BE"/>
    <w:rsid w:val="286C634E"/>
    <w:rsid w:val="291AFC81"/>
    <w:rsid w:val="2A58EC72"/>
    <w:rsid w:val="2AAAFED3"/>
    <w:rsid w:val="2AC4E08B"/>
    <w:rsid w:val="2B1D3D60"/>
    <w:rsid w:val="2B62344F"/>
    <w:rsid w:val="2C23FF42"/>
    <w:rsid w:val="2C8EFA04"/>
    <w:rsid w:val="2CCB8220"/>
    <w:rsid w:val="2CDFD3AB"/>
    <w:rsid w:val="2CF3783C"/>
    <w:rsid w:val="2F99518B"/>
    <w:rsid w:val="30FF5A06"/>
    <w:rsid w:val="32A680C3"/>
    <w:rsid w:val="33756590"/>
    <w:rsid w:val="348057A7"/>
    <w:rsid w:val="3663549E"/>
    <w:rsid w:val="36910DDC"/>
    <w:rsid w:val="38F09ED8"/>
    <w:rsid w:val="390618DD"/>
    <w:rsid w:val="3910A2DB"/>
    <w:rsid w:val="394095B5"/>
    <w:rsid w:val="3A13DA3D"/>
    <w:rsid w:val="3A4FAB19"/>
    <w:rsid w:val="3A8E10A8"/>
    <w:rsid w:val="3AB17FFD"/>
    <w:rsid w:val="3BEB3574"/>
    <w:rsid w:val="3E0F710C"/>
    <w:rsid w:val="3EDFC37C"/>
    <w:rsid w:val="3FFAF44B"/>
    <w:rsid w:val="4033CFCF"/>
    <w:rsid w:val="410F01DD"/>
    <w:rsid w:val="412B5C00"/>
    <w:rsid w:val="4175D7FD"/>
    <w:rsid w:val="42016F7F"/>
    <w:rsid w:val="420DA6B3"/>
    <w:rsid w:val="42937144"/>
    <w:rsid w:val="436A3851"/>
    <w:rsid w:val="43ABDF8C"/>
    <w:rsid w:val="43FDE44C"/>
    <w:rsid w:val="4658FAF8"/>
    <w:rsid w:val="4688EDD2"/>
    <w:rsid w:val="4AC70B70"/>
    <w:rsid w:val="4B2C9A56"/>
    <w:rsid w:val="4C281B99"/>
    <w:rsid w:val="4E01F27D"/>
    <w:rsid w:val="4E16F692"/>
    <w:rsid w:val="4E855238"/>
    <w:rsid w:val="4EB44A56"/>
    <w:rsid w:val="4FBF6B60"/>
    <w:rsid w:val="4FDBC961"/>
    <w:rsid w:val="4FFF78C9"/>
    <w:rsid w:val="501D9827"/>
    <w:rsid w:val="5044FC33"/>
    <w:rsid w:val="50596903"/>
    <w:rsid w:val="508EEABE"/>
    <w:rsid w:val="5171A47A"/>
    <w:rsid w:val="524B111B"/>
    <w:rsid w:val="52A23F00"/>
    <w:rsid w:val="53C63E20"/>
    <w:rsid w:val="54163CDE"/>
    <w:rsid w:val="5564A707"/>
    <w:rsid w:val="563D8DB9"/>
    <w:rsid w:val="565D5E81"/>
    <w:rsid w:val="573519EA"/>
    <w:rsid w:val="5744ABFA"/>
    <w:rsid w:val="57C86BB9"/>
    <w:rsid w:val="57D26DAE"/>
    <w:rsid w:val="589D2F2E"/>
    <w:rsid w:val="58B22E6D"/>
    <w:rsid w:val="590F5DC3"/>
    <w:rsid w:val="59AC4492"/>
    <w:rsid w:val="5A22CB8F"/>
    <w:rsid w:val="5C58206B"/>
    <w:rsid w:val="5C597E1C"/>
    <w:rsid w:val="5C92ABBC"/>
    <w:rsid w:val="5D4C78E8"/>
    <w:rsid w:val="5E3C8FC6"/>
    <w:rsid w:val="5E79E8A6"/>
    <w:rsid w:val="5F920872"/>
    <w:rsid w:val="6020560B"/>
    <w:rsid w:val="60841358"/>
    <w:rsid w:val="60E9AB32"/>
    <w:rsid w:val="6249D2F0"/>
    <w:rsid w:val="63E2FB11"/>
    <w:rsid w:val="65793B33"/>
    <w:rsid w:val="65EC4325"/>
    <w:rsid w:val="65EFA97D"/>
    <w:rsid w:val="662A2990"/>
    <w:rsid w:val="663F824F"/>
    <w:rsid w:val="671E082B"/>
    <w:rsid w:val="676B23AC"/>
    <w:rsid w:val="69AB10FF"/>
    <w:rsid w:val="69DB03D9"/>
    <w:rsid w:val="6AF634A8"/>
    <w:rsid w:val="6B40CFE7"/>
    <w:rsid w:val="6B9AFCF7"/>
    <w:rsid w:val="6BDEB016"/>
    <w:rsid w:val="6C4F3929"/>
    <w:rsid w:val="6DDC2B98"/>
    <w:rsid w:val="6EA6ED18"/>
    <w:rsid w:val="7045EF3F"/>
    <w:rsid w:val="712FBF78"/>
    <w:rsid w:val="71540884"/>
    <w:rsid w:val="73785D0A"/>
    <w:rsid w:val="74C3BA81"/>
    <w:rsid w:val="75E86C65"/>
    <w:rsid w:val="7641FDC1"/>
    <w:rsid w:val="76AFBDC3"/>
    <w:rsid w:val="772B0080"/>
    <w:rsid w:val="788383B4"/>
    <w:rsid w:val="7956C83C"/>
    <w:rsid w:val="79E5DF27"/>
    <w:rsid w:val="7A82CF3B"/>
    <w:rsid w:val="7D05D6EA"/>
    <w:rsid w:val="7D0780AC"/>
    <w:rsid w:val="7DDE202E"/>
    <w:rsid w:val="7E5B8CFF"/>
    <w:rsid w:val="7EF3C72D"/>
    <w:rsid w:val="7F9326A7"/>
    <w:rsid w:val="7FE4C1C3"/>
    <w:rsid w:val="7FF94C2B"/>
    <w:rsid w:val="7FFE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paragraph" w:customStyle="1" w:styleId="paragraph">
    <w:name w:val="paragraph"/>
    <w:basedOn w:val="Normal"/>
    <w:rsid w:val="00881FBE"/>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881FBE"/>
  </w:style>
  <w:style w:type="paragraph" w:customStyle="1" w:styleId="Content">
    <w:name w:val="Content"/>
    <w:basedOn w:val="Normal"/>
    <w:link w:val="ContentChar"/>
    <w:qFormat/>
    <w:rsid w:val="00F62A27"/>
    <w:pPr>
      <w:spacing w:line="276" w:lineRule="auto"/>
    </w:pPr>
    <w:rPr>
      <w:rFonts w:asciiTheme="minorHAnsi" w:eastAsiaTheme="minorEastAsia" w:hAnsiTheme="minorHAnsi" w:cstheme="minorBidi"/>
      <w:color w:val="1F497D" w:themeColor="text2"/>
      <w:sz w:val="28"/>
      <w:szCs w:val="22"/>
      <w:lang w:val="en-US"/>
    </w:rPr>
  </w:style>
  <w:style w:type="character" w:customStyle="1" w:styleId="ContentChar">
    <w:name w:val="Content Char"/>
    <w:basedOn w:val="DefaultParagraphFont"/>
    <w:link w:val="Content"/>
    <w:rsid w:val="00F62A27"/>
    <w:rPr>
      <w:rFonts w:asciiTheme="minorHAnsi" w:eastAsiaTheme="minorEastAsia" w:hAnsiTheme="minorHAnsi" w:cstheme="minorBidi"/>
      <w:color w:val="1F497D" w:themeColor="text2"/>
      <w:sz w:val="28"/>
      <w:szCs w:val="22"/>
      <w:lang w:val="en-US" w:eastAsia="en-US"/>
    </w:rPr>
  </w:style>
  <w:style w:type="paragraph" w:customStyle="1" w:styleId="Default">
    <w:name w:val="Default"/>
    <w:rsid w:val="00F62A27"/>
    <w:pPr>
      <w:autoSpaceDE w:val="0"/>
      <w:autoSpaceDN w:val="0"/>
      <w:adjustRightInd w:val="0"/>
    </w:pPr>
    <w:rPr>
      <w:rFonts w:ascii="Arial" w:hAnsi="Arial" w:cs="Arial"/>
      <w:color w:val="000000"/>
      <w:sz w:val="24"/>
      <w:szCs w:val="24"/>
    </w:rPr>
  </w:style>
  <w:style w:type="paragraph" w:customStyle="1" w:styleId="CharChar">
    <w:name w:val="Char Char"/>
    <w:basedOn w:val="Normal"/>
    <w:rsid w:val="00425B19"/>
    <w:pPr>
      <w:spacing w:after="160" w:line="240" w:lineRule="exact"/>
    </w:pPr>
    <w:rPr>
      <w:rFonts w:ascii="Tahoma" w:hAnsi="Tahoma"/>
      <w:sz w:val="20"/>
      <w:lang w:eastAsia="en-GB"/>
    </w:rPr>
  </w:style>
  <w:style w:type="character" w:styleId="CommentReference">
    <w:name w:val="annotation reference"/>
    <w:basedOn w:val="DefaultParagraphFont"/>
    <w:semiHidden/>
    <w:unhideWhenUsed/>
    <w:rsid w:val="001C32A4"/>
    <w:rPr>
      <w:sz w:val="16"/>
      <w:szCs w:val="16"/>
    </w:rPr>
  </w:style>
  <w:style w:type="paragraph" w:styleId="CommentText">
    <w:name w:val="annotation text"/>
    <w:basedOn w:val="Normal"/>
    <w:link w:val="CommentTextChar"/>
    <w:semiHidden/>
    <w:unhideWhenUsed/>
    <w:rsid w:val="001C32A4"/>
    <w:rPr>
      <w:sz w:val="20"/>
    </w:rPr>
  </w:style>
  <w:style w:type="character" w:customStyle="1" w:styleId="CommentTextChar">
    <w:name w:val="Comment Text Char"/>
    <w:basedOn w:val="DefaultParagraphFont"/>
    <w:link w:val="CommentText"/>
    <w:semiHidden/>
    <w:rsid w:val="001C32A4"/>
    <w:rPr>
      <w:rFonts w:ascii="Arial" w:hAnsi="Arial"/>
      <w:lang w:eastAsia="en-US"/>
    </w:rPr>
  </w:style>
  <w:style w:type="paragraph" w:styleId="CommentSubject">
    <w:name w:val="annotation subject"/>
    <w:basedOn w:val="CommentText"/>
    <w:next w:val="CommentText"/>
    <w:link w:val="CommentSubjectChar"/>
    <w:semiHidden/>
    <w:unhideWhenUsed/>
    <w:rsid w:val="001C32A4"/>
    <w:rPr>
      <w:b/>
      <w:bCs/>
    </w:rPr>
  </w:style>
  <w:style w:type="character" w:customStyle="1" w:styleId="CommentSubjectChar">
    <w:name w:val="Comment Subject Char"/>
    <w:basedOn w:val="CommentTextChar"/>
    <w:link w:val="CommentSubject"/>
    <w:semiHidden/>
    <w:rsid w:val="001C32A4"/>
    <w:rPr>
      <w:rFonts w:ascii="Arial" w:hAnsi="Arial"/>
      <w:b/>
      <w:bCs/>
      <w:lang w:eastAsia="en-US"/>
    </w:rPr>
  </w:style>
  <w:style w:type="paragraph" w:customStyle="1" w:styleId="CharChar0">
    <w:name w:val="Char Char0"/>
    <w:basedOn w:val="Normal"/>
    <w:rsid w:val="002F4990"/>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4043">
      <w:bodyDiv w:val="1"/>
      <w:marLeft w:val="0"/>
      <w:marRight w:val="0"/>
      <w:marTop w:val="0"/>
      <w:marBottom w:val="0"/>
      <w:divBdr>
        <w:top w:val="none" w:sz="0" w:space="0" w:color="auto"/>
        <w:left w:val="none" w:sz="0" w:space="0" w:color="auto"/>
        <w:bottom w:val="none" w:sz="0" w:space="0" w:color="auto"/>
        <w:right w:val="none" w:sz="0" w:space="0" w:color="auto"/>
      </w:divBdr>
    </w:div>
    <w:div w:id="187069552">
      <w:bodyDiv w:val="1"/>
      <w:marLeft w:val="0"/>
      <w:marRight w:val="0"/>
      <w:marTop w:val="0"/>
      <w:marBottom w:val="0"/>
      <w:divBdr>
        <w:top w:val="none" w:sz="0" w:space="0" w:color="auto"/>
        <w:left w:val="none" w:sz="0" w:space="0" w:color="auto"/>
        <w:bottom w:val="none" w:sz="0" w:space="0" w:color="auto"/>
        <w:right w:val="none" w:sz="0" w:space="0" w:color="auto"/>
      </w:divBdr>
      <w:divsChild>
        <w:div w:id="1854564099">
          <w:marLeft w:val="274"/>
          <w:marRight w:val="0"/>
          <w:marTop w:val="0"/>
          <w:marBottom w:val="0"/>
          <w:divBdr>
            <w:top w:val="none" w:sz="0" w:space="0" w:color="auto"/>
            <w:left w:val="none" w:sz="0" w:space="0" w:color="auto"/>
            <w:bottom w:val="none" w:sz="0" w:space="0" w:color="auto"/>
            <w:right w:val="none" w:sz="0" w:space="0" w:color="auto"/>
          </w:divBdr>
        </w:div>
        <w:div w:id="1700203286">
          <w:marLeft w:val="274"/>
          <w:marRight w:val="0"/>
          <w:marTop w:val="0"/>
          <w:marBottom w:val="0"/>
          <w:divBdr>
            <w:top w:val="none" w:sz="0" w:space="0" w:color="auto"/>
            <w:left w:val="none" w:sz="0" w:space="0" w:color="auto"/>
            <w:bottom w:val="none" w:sz="0" w:space="0" w:color="auto"/>
            <w:right w:val="none" w:sz="0" w:space="0" w:color="auto"/>
          </w:divBdr>
        </w:div>
        <w:div w:id="1364751175">
          <w:marLeft w:val="274"/>
          <w:marRight w:val="0"/>
          <w:marTop w:val="0"/>
          <w:marBottom w:val="0"/>
          <w:divBdr>
            <w:top w:val="none" w:sz="0" w:space="0" w:color="auto"/>
            <w:left w:val="none" w:sz="0" w:space="0" w:color="auto"/>
            <w:bottom w:val="none" w:sz="0" w:space="0" w:color="auto"/>
            <w:right w:val="none" w:sz="0" w:space="0" w:color="auto"/>
          </w:divBdr>
        </w:div>
        <w:div w:id="1524438423">
          <w:marLeft w:val="994"/>
          <w:marRight w:val="0"/>
          <w:marTop w:val="0"/>
          <w:marBottom w:val="0"/>
          <w:divBdr>
            <w:top w:val="none" w:sz="0" w:space="0" w:color="auto"/>
            <w:left w:val="none" w:sz="0" w:space="0" w:color="auto"/>
            <w:bottom w:val="none" w:sz="0" w:space="0" w:color="auto"/>
            <w:right w:val="none" w:sz="0" w:space="0" w:color="auto"/>
          </w:divBdr>
        </w:div>
        <w:div w:id="199589200">
          <w:marLeft w:val="994"/>
          <w:marRight w:val="0"/>
          <w:marTop w:val="0"/>
          <w:marBottom w:val="0"/>
          <w:divBdr>
            <w:top w:val="none" w:sz="0" w:space="0" w:color="auto"/>
            <w:left w:val="none" w:sz="0" w:space="0" w:color="auto"/>
            <w:bottom w:val="none" w:sz="0" w:space="0" w:color="auto"/>
            <w:right w:val="none" w:sz="0" w:space="0" w:color="auto"/>
          </w:divBdr>
        </w:div>
        <w:div w:id="679041014">
          <w:marLeft w:val="994"/>
          <w:marRight w:val="0"/>
          <w:marTop w:val="0"/>
          <w:marBottom w:val="0"/>
          <w:divBdr>
            <w:top w:val="none" w:sz="0" w:space="0" w:color="auto"/>
            <w:left w:val="none" w:sz="0" w:space="0" w:color="auto"/>
            <w:bottom w:val="none" w:sz="0" w:space="0" w:color="auto"/>
            <w:right w:val="none" w:sz="0" w:space="0" w:color="auto"/>
          </w:divBdr>
        </w:div>
        <w:div w:id="2005280160">
          <w:marLeft w:val="274"/>
          <w:marRight w:val="0"/>
          <w:marTop w:val="0"/>
          <w:marBottom w:val="0"/>
          <w:divBdr>
            <w:top w:val="none" w:sz="0" w:space="0" w:color="auto"/>
            <w:left w:val="none" w:sz="0" w:space="0" w:color="auto"/>
            <w:bottom w:val="none" w:sz="0" w:space="0" w:color="auto"/>
            <w:right w:val="none" w:sz="0" w:space="0" w:color="auto"/>
          </w:divBdr>
        </w:div>
      </w:divsChild>
    </w:div>
    <w:div w:id="605306288">
      <w:bodyDiv w:val="1"/>
      <w:marLeft w:val="0"/>
      <w:marRight w:val="0"/>
      <w:marTop w:val="0"/>
      <w:marBottom w:val="0"/>
      <w:divBdr>
        <w:top w:val="none" w:sz="0" w:space="0" w:color="auto"/>
        <w:left w:val="none" w:sz="0" w:space="0" w:color="auto"/>
        <w:bottom w:val="none" w:sz="0" w:space="0" w:color="auto"/>
        <w:right w:val="none" w:sz="0" w:space="0" w:color="auto"/>
      </w:divBdr>
      <w:divsChild>
        <w:div w:id="1525363218">
          <w:marLeft w:val="274"/>
          <w:marRight w:val="0"/>
          <w:marTop w:val="0"/>
          <w:marBottom w:val="0"/>
          <w:divBdr>
            <w:top w:val="none" w:sz="0" w:space="0" w:color="auto"/>
            <w:left w:val="none" w:sz="0" w:space="0" w:color="auto"/>
            <w:bottom w:val="none" w:sz="0" w:space="0" w:color="auto"/>
            <w:right w:val="none" w:sz="0" w:space="0" w:color="auto"/>
          </w:divBdr>
        </w:div>
        <w:div w:id="1155755885">
          <w:marLeft w:val="274"/>
          <w:marRight w:val="0"/>
          <w:marTop w:val="0"/>
          <w:marBottom w:val="0"/>
          <w:divBdr>
            <w:top w:val="none" w:sz="0" w:space="0" w:color="auto"/>
            <w:left w:val="none" w:sz="0" w:space="0" w:color="auto"/>
            <w:bottom w:val="none" w:sz="0" w:space="0" w:color="auto"/>
            <w:right w:val="none" w:sz="0" w:space="0" w:color="auto"/>
          </w:divBdr>
        </w:div>
        <w:div w:id="1354723239">
          <w:marLeft w:val="274"/>
          <w:marRight w:val="0"/>
          <w:marTop w:val="0"/>
          <w:marBottom w:val="0"/>
          <w:divBdr>
            <w:top w:val="none" w:sz="0" w:space="0" w:color="auto"/>
            <w:left w:val="none" w:sz="0" w:space="0" w:color="auto"/>
            <w:bottom w:val="none" w:sz="0" w:space="0" w:color="auto"/>
            <w:right w:val="none" w:sz="0" w:space="0" w:color="auto"/>
          </w:divBdr>
        </w:div>
        <w:div w:id="1486437251">
          <w:marLeft w:val="274"/>
          <w:marRight w:val="0"/>
          <w:marTop w:val="0"/>
          <w:marBottom w:val="0"/>
          <w:divBdr>
            <w:top w:val="none" w:sz="0" w:space="0" w:color="auto"/>
            <w:left w:val="none" w:sz="0" w:space="0" w:color="auto"/>
            <w:bottom w:val="none" w:sz="0" w:space="0" w:color="auto"/>
            <w:right w:val="none" w:sz="0" w:space="0" w:color="auto"/>
          </w:divBdr>
        </w:div>
      </w:divsChild>
    </w:div>
    <w:div w:id="911350822">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199629455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Shumailla Dar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CD405-C3C9-492A-A633-E3EC1F370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94471-F152-40FB-8AFF-B35B9BA76F86}">
  <ds:schemaRefs>
    <ds:schemaRef ds:uri="http://schemas.microsoft.com/office/2006/documentManagement/types"/>
    <ds:schemaRef ds:uri="http://schemas.openxmlformats.org/package/2006/metadata/core-properties"/>
    <ds:schemaRef ds:uri="d0bfbfe7-0691-4323-9bd4-0ad546c9296b"/>
    <ds:schemaRef ds:uri="http://purl.org/dc/dcmitype/"/>
    <ds:schemaRef ds:uri="http://schemas.microsoft.com/office/infopath/2007/PartnerControls"/>
    <ds:schemaRef ds:uri="http://purl.org/dc/elements/1.1/"/>
    <ds:schemaRef ds:uri="http://schemas.microsoft.com/office/2006/metadata/properties"/>
    <ds:schemaRef ds:uri="3b1389c9-9d35-4de0-bb42-1f86bf4dc98b"/>
    <ds:schemaRef ds:uri="http://www.w3.org/XML/1998/namespace"/>
    <ds:schemaRef ds:uri="http://purl.org/dc/terms/"/>
  </ds:schemaRefs>
</ds:datastoreItem>
</file>

<file path=customXml/itemProps3.xml><?xml version="1.0" encoding="utf-8"?>
<ds:datastoreItem xmlns:ds="http://schemas.openxmlformats.org/officeDocument/2006/customXml" ds:itemID="{F73ED9E2-41EB-4F25-83C7-1FBD76E8E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1132</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28</cp:revision>
  <cp:lastPrinted>2009-12-01T14:09:00Z</cp:lastPrinted>
  <dcterms:created xsi:type="dcterms:W3CDTF">2021-09-07T16:52:00Z</dcterms:created>
  <dcterms:modified xsi:type="dcterms:W3CDTF">2021-12-07T16:01:00Z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